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ADC4">
      <w:pPr>
        <w:spacing w:line="360" w:lineRule="auto"/>
        <w:ind w:firstLine="0" w:firstLineChars="0"/>
        <w:jc w:val="both"/>
        <w:rPr>
          <w:rFonts w:ascii="黑体" w:hAnsi="黑体" w:eastAsia="黑体" w:cs="仿宋"/>
          <w:bCs/>
          <w:sz w:val="32"/>
          <w:szCs w:val="32"/>
        </w:rPr>
      </w:pPr>
      <w:bookmarkStart w:id="100" w:name="_GoBack"/>
      <w:bookmarkEnd w:id="100"/>
      <w:r>
        <w:rPr>
          <w:rFonts w:hint="eastAsia" w:ascii="黑体" w:hAnsi="黑体" w:eastAsia="黑体" w:cs="仿宋"/>
          <w:b w:val="0"/>
          <w:bCs/>
          <w:sz w:val="32"/>
          <w:szCs w:val="32"/>
        </w:rPr>
        <w:t>附件</w:t>
      </w:r>
    </w:p>
    <w:p w14:paraId="4C6E289D">
      <w:pPr>
        <w:spacing w:line="360" w:lineRule="auto"/>
        <w:ind w:firstLine="0" w:firstLineChars="0"/>
        <w:jc w:val="both"/>
        <w:rPr>
          <w:rFonts w:ascii="黑体" w:hAnsi="黑体" w:eastAsia="黑体" w:cs="仿宋"/>
          <w:bCs/>
          <w:sz w:val="32"/>
          <w:szCs w:val="32"/>
        </w:rPr>
      </w:pPr>
    </w:p>
    <w:p w14:paraId="748B2AFC">
      <w:pPr>
        <w:spacing w:line="360" w:lineRule="auto"/>
        <w:ind w:firstLine="0" w:firstLineChars="0"/>
        <w:jc w:val="center"/>
        <w:rPr>
          <w:rFonts w:ascii="方正小标宋简体" w:hAnsi="仿宋" w:eastAsia="方正小标宋简体" w:cs="仿宋"/>
          <w:bCs/>
          <w:sz w:val="44"/>
          <w:szCs w:val="44"/>
        </w:rPr>
      </w:pPr>
    </w:p>
    <w:p w14:paraId="1EAAB876">
      <w:pPr>
        <w:spacing w:line="360" w:lineRule="auto"/>
        <w:ind w:firstLine="0" w:firstLineChars="0"/>
        <w:jc w:val="center"/>
        <w:rPr>
          <w:rFonts w:ascii="方正小标宋简体" w:hAnsi="仿宋" w:eastAsia="方正小标宋简体" w:cs="仿宋"/>
          <w:bCs/>
          <w:sz w:val="44"/>
          <w:szCs w:val="44"/>
        </w:rPr>
      </w:pPr>
    </w:p>
    <w:p w14:paraId="33D1321C">
      <w:pPr>
        <w:spacing w:line="360" w:lineRule="auto"/>
        <w:ind w:firstLine="0" w:firstLineChars="0"/>
        <w:jc w:val="center"/>
        <w:rPr>
          <w:rFonts w:ascii="方正小标宋简体" w:hAnsi="仿宋" w:eastAsia="方正小标宋简体" w:cs="仿宋"/>
          <w:bCs/>
          <w:sz w:val="44"/>
          <w:szCs w:val="44"/>
        </w:rPr>
      </w:pPr>
    </w:p>
    <w:p w14:paraId="28BE6422">
      <w:pPr>
        <w:spacing w:line="360" w:lineRule="auto"/>
        <w:ind w:firstLine="0" w:firstLineChars="0"/>
        <w:jc w:val="center"/>
        <w:rPr>
          <w:rFonts w:ascii="方正小标宋简体" w:hAnsi="仿宋" w:eastAsia="方正小标宋简体" w:cs="仿宋"/>
          <w:bCs/>
          <w:sz w:val="44"/>
          <w:szCs w:val="44"/>
        </w:rPr>
      </w:pPr>
    </w:p>
    <w:p w14:paraId="19EAE10B">
      <w:pPr>
        <w:spacing w:line="360" w:lineRule="auto"/>
        <w:ind w:firstLine="0" w:firstLineChars="0"/>
        <w:jc w:val="center"/>
        <w:rPr>
          <w:rFonts w:ascii="方正小标宋简体" w:hAnsi="仿宋" w:eastAsia="方正小标宋简体" w:cs="仿宋"/>
          <w:bCs/>
          <w:sz w:val="44"/>
          <w:szCs w:val="44"/>
        </w:rPr>
      </w:pPr>
      <w:r>
        <w:rPr>
          <w:rFonts w:hint="eastAsia" w:ascii="方正小标宋简体" w:hAnsi="仿宋" w:eastAsia="方正小标宋简体" w:cs="仿宋"/>
          <w:b w:val="0"/>
          <w:bCs/>
          <w:sz w:val="44"/>
          <w:szCs w:val="44"/>
        </w:rPr>
        <w:t>基础性审计程序操作指引</w:t>
      </w:r>
      <w:r>
        <w:rPr>
          <w:rFonts w:ascii="方正小标宋简体" w:hAnsi="仿宋" w:eastAsia="方正小标宋简体" w:cs="仿宋"/>
          <w:bCs/>
          <w:sz w:val="44"/>
          <w:szCs w:val="44"/>
        </w:rPr>
        <w:t>——</w:t>
      </w:r>
      <w:r>
        <w:rPr>
          <w:rFonts w:hint="eastAsia" w:ascii="方正小标宋简体" w:hAnsi="仿宋" w:eastAsia="方正小标宋简体" w:cs="仿宋"/>
          <w:b w:val="0"/>
          <w:bCs/>
          <w:sz w:val="44"/>
          <w:szCs w:val="44"/>
        </w:rPr>
        <w:t>函证</w:t>
      </w:r>
    </w:p>
    <w:p w14:paraId="50CF661E">
      <w:pPr>
        <w:spacing w:line="360" w:lineRule="auto"/>
        <w:jc w:val="center"/>
        <w:rPr>
          <w:rFonts w:ascii="方正小标宋简体" w:hAnsi="仿宋" w:eastAsia="方正小标宋简体" w:cs="仿宋"/>
          <w:bCs/>
          <w:sz w:val="44"/>
          <w:szCs w:val="44"/>
        </w:rPr>
        <w:sectPr>
          <w:footerReference r:id="rId5" w:type="default"/>
          <w:pgSz w:w="11906" w:h="16838"/>
          <w:pgMar w:top="1440" w:right="1701" w:bottom="1440" w:left="1701" w:header="851" w:footer="992" w:gutter="0"/>
          <w:pgNumType w:start="1"/>
          <w:cols w:space="425" w:num="1"/>
          <w:docGrid w:type="lines" w:linePitch="312" w:charSpace="0"/>
        </w:sectPr>
      </w:pPr>
    </w:p>
    <w:p w14:paraId="6ACFE1EA">
      <w:pPr>
        <w:spacing w:line="360" w:lineRule="auto"/>
        <w:ind w:firstLine="0" w:firstLineChars="0"/>
        <w:jc w:val="both"/>
        <w:rPr>
          <w:rFonts w:ascii="仿宋" w:hAnsi="仿宋" w:eastAsia="仿宋" w:cs="仿宋"/>
          <w:sz w:val="24"/>
        </w:rPr>
      </w:pPr>
    </w:p>
    <w:sdt>
      <w:sdtPr>
        <w:rPr>
          <w:rFonts w:ascii="宋体" w:hAnsi="宋体" w:eastAsia="宋体"/>
        </w:rPr>
        <w:id w:val="147467653"/>
        <w15:color w:val="DBDBDB"/>
        <w:docPartObj>
          <w:docPartGallery w:val="Table of Contents"/>
          <w:docPartUnique/>
        </w:docPartObj>
      </w:sdtPr>
      <w:sdtEndPr>
        <w:rPr>
          <w:rFonts w:ascii="宋体" w:hAnsi="宋体" w:eastAsia="宋体"/>
        </w:rPr>
      </w:sdtEndPr>
      <w:sdtContent>
        <w:p w14:paraId="126BA82D">
          <w:pPr>
            <w:jc w:val="center"/>
            <w:rPr>
              <w:rFonts w:ascii="宋体" w:hAnsi="宋体" w:eastAsia="宋体"/>
            </w:rPr>
          </w:pPr>
        </w:p>
        <w:p w14:paraId="0258F63E">
          <w:pPr>
            <w:jc w:val="center"/>
            <w:rPr>
              <w:rFonts w:ascii="方正小标宋简体" w:hAnsi="方正小标宋简体" w:eastAsia="方正小标宋简体" w:cs="方正小标宋简体"/>
              <w:sz w:val="30"/>
              <w:szCs w:val="30"/>
            </w:rPr>
          </w:pPr>
          <w:r>
            <w:rPr>
              <w:rFonts w:ascii="方正小标宋简体" w:hAnsi="方正小标宋简体" w:eastAsia="方正小标宋简体" w:cs="方正小标宋简体"/>
              <w:sz w:val="30"/>
              <w:szCs w:val="30"/>
            </w:rPr>
            <w:t>目</w:t>
          </w:r>
          <w:r>
            <w:rPr>
              <w:rFonts w:ascii="方正小标宋简体" w:hAnsi="方正小标宋简体" w:eastAsia="方正小标宋简体" w:cs="方正小标宋简体"/>
              <w:sz w:val="30"/>
              <w:szCs w:val="30"/>
            </w:rPr>
            <w:t xml:space="preserve">  </w:t>
          </w:r>
          <w:r>
            <w:rPr>
              <w:rFonts w:ascii="方正小标宋简体" w:hAnsi="方正小标宋简体" w:eastAsia="方正小标宋简体" w:cs="方正小标宋简体"/>
              <w:sz w:val="30"/>
              <w:szCs w:val="30"/>
            </w:rPr>
            <w:t>录</w:t>
          </w:r>
        </w:p>
        <w:p w14:paraId="2F6A7150">
          <w:pPr>
            <w:pStyle w:val="8"/>
            <w:tabs>
              <w:tab w:val="right" w:leader="dot" w:pos="8504"/>
            </w:tabs>
            <w:spacing w:before="156" w:beforeLines="50" w:line="400" w:lineRule="exact"/>
            <w:rPr>
              <w:rFonts w:asciiTheme="minorEastAsia" w:hAnsiTheme="minorEastAsia" w:cstheme="minorEastAsia"/>
              <w:sz w:val="24"/>
            </w:rPr>
          </w:pPr>
          <w:r>
            <w:rPr>
              <w:rFonts w:asciiTheme="majorEastAsia" w:hAnsiTheme="majorEastAsia" w:eastAsiaTheme="majorEastAsia" w:cstheme="majorEastAsia"/>
              <w:bCs/>
              <w:sz w:val="24"/>
            </w:rPr>
            <w:fldChar w:fldCharType="begin"/>
          </w:r>
          <w:r>
            <w:rPr>
              <w:rFonts w:asciiTheme="majorEastAsia" w:hAnsiTheme="majorEastAsia" w:eastAsiaTheme="majorEastAsia" w:cstheme="majorEastAsia"/>
              <w:bCs/>
              <w:sz w:val="24"/>
            </w:rPr>
            <w:instrText xml:space="preserve">TOC \o "1-2" \h \u </w:instrText>
          </w:r>
          <w:r>
            <w:rPr>
              <w:rFonts w:asciiTheme="majorEastAsia" w:hAnsiTheme="majorEastAsia" w:eastAsiaTheme="majorEastAsia" w:cstheme="majorEastAsia"/>
              <w:bCs/>
              <w:sz w:val="24"/>
            </w:rPr>
            <w:fldChar w:fldCharType="separate"/>
          </w: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_Toc7401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第一章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总则</w:t>
          </w:r>
          <w:r>
            <w:rPr>
              <w:rFonts w:asciiTheme="minorEastAsia" w:hAnsiTheme="minorEastAsia" w:cstheme="minorEastAsia"/>
              <w:b/>
              <w:bCs/>
              <w:sz w:val="24"/>
            </w:rPr>
            <w:tab/>
          </w:r>
          <w:r>
            <w:rPr>
              <w:rFonts w:asciiTheme="minorEastAsia" w:hAnsiTheme="minorEastAsia" w:cstheme="minorEastAsia"/>
              <w:b/>
              <w:bCs/>
              <w:sz w:val="24"/>
            </w:rPr>
            <w:fldChar w:fldCharType="begin"/>
          </w:r>
          <w:r>
            <w:rPr>
              <w:rFonts w:asciiTheme="minorEastAsia" w:hAnsiTheme="minorEastAsia" w:cstheme="minorEastAsia"/>
              <w:b/>
              <w:bCs/>
              <w:sz w:val="24"/>
            </w:rPr>
            <w:instrText xml:space="preserve"> PAGEREF _Toc7401 \h </w:instrText>
          </w:r>
          <w:r>
            <w:rPr>
              <w:rFonts w:asciiTheme="minorEastAsia" w:hAnsiTheme="minorEastAsia" w:cstheme="minorEastAsia"/>
              <w:b/>
              <w:bCs/>
              <w:sz w:val="24"/>
            </w:rPr>
            <w:fldChar w:fldCharType="separate"/>
          </w:r>
          <w:r>
            <w:rPr>
              <w:rFonts w:asciiTheme="minorEastAsia" w:hAnsiTheme="minorEastAsia" w:cstheme="minorEastAsia"/>
              <w:b/>
              <w:bCs/>
              <w:sz w:val="24"/>
            </w:rPr>
            <w:t>1</w:t>
          </w:r>
          <w:r>
            <w:rPr>
              <w:rFonts w:asciiTheme="minorEastAsia" w:hAnsiTheme="minorEastAsia" w:cstheme="minorEastAsia"/>
              <w:b/>
              <w:bCs/>
              <w:sz w:val="24"/>
            </w:rPr>
            <w:fldChar w:fldCharType="end"/>
          </w:r>
          <w:r>
            <w:rPr>
              <w:rFonts w:hint="eastAsia" w:asciiTheme="minorEastAsia" w:hAnsiTheme="minorEastAsia" w:eastAsiaTheme="minorEastAsia" w:cstheme="minorEastAsia"/>
              <w:b/>
              <w:bCs/>
              <w:sz w:val="24"/>
            </w:rPr>
            <w:fldChar w:fldCharType="end"/>
          </w:r>
        </w:p>
        <w:p w14:paraId="3F89ACE8">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_Toc28946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一、制定目的与依据</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_Toc28946 \h </w:instrText>
          </w:r>
          <w:r>
            <w:rPr>
              <w:rFonts w:asciiTheme="minorEastAsia" w:hAnsiTheme="minorEastAsia" w:cstheme="minorEastAsia"/>
              <w:sz w:val="24"/>
            </w:rPr>
            <w:fldChar w:fldCharType="separate"/>
          </w:r>
          <w:r>
            <w:rPr>
              <w:rFonts w:asciiTheme="minorEastAsia" w:hAnsiTheme="minorEastAsia" w:cstheme="minorEastAsia"/>
              <w:sz w:val="24"/>
            </w:rPr>
            <w:t>1</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234B393E">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_Toc1199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二、总体要求</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_Toc1199 \h </w:instrText>
          </w:r>
          <w:r>
            <w:rPr>
              <w:rFonts w:asciiTheme="minorEastAsia" w:hAnsiTheme="minorEastAsia" w:cstheme="minorEastAsia"/>
              <w:sz w:val="24"/>
            </w:rPr>
            <w:fldChar w:fldCharType="separate"/>
          </w:r>
          <w:r>
            <w:rPr>
              <w:rFonts w:asciiTheme="minorEastAsia" w:hAnsiTheme="minorEastAsia" w:cstheme="minorEastAsia"/>
              <w:sz w:val="24"/>
            </w:rPr>
            <w:t>1</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680CB40D">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_Toc17086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三、函证程序目标</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_Toc17086 \h </w:instrText>
          </w:r>
          <w:r>
            <w:rPr>
              <w:rFonts w:asciiTheme="minorEastAsia" w:hAnsiTheme="minorEastAsia" w:cstheme="minorEastAsia"/>
              <w:sz w:val="24"/>
            </w:rPr>
            <w:fldChar w:fldCharType="separate"/>
          </w:r>
          <w:r>
            <w:rPr>
              <w:rFonts w:asciiTheme="minorEastAsia" w:hAnsiTheme="minorEastAsia" w:cstheme="minorEastAsia"/>
              <w:sz w:val="24"/>
            </w:rPr>
            <w:t>1</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02817461">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_Toc25165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四、职业道德要求</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_Toc25165 \h </w:instrText>
          </w:r>
          <w:r>
            <w:rPr>
              <w:rFonts w:asciiTheme="minorEastAsia" w:hAnsiTheme="minorEastAsia" w:cstheme="minorEastAsia"/>
              <w:sz w:val="24"/>
            </w:rPr>
            <w:fldChar w:fldCharType="separate"/>
          </w:r>
          <w:r>
            <w:rPr>
              <w:rFonts w:asciiTheme="minorEastAsia" w:hAnsiTheme="minorEastAsia" w:cstheme="minorEastAsia"/>
              <w:sz w:val="24"/>
            </w:rPr>
            <w:t>1</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17A3871D">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_Toc26907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五、适用范围提示</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_Toc26907 \h </w:instrText>
          </w:r>
          <w:r>
            <w:rPr>
              <w:rFonts w:asciiTheme="minorEastAsia" w:hAnsiTheme="minorEastAsia" w:cstheme="minorEastAsia"/>
              <w:sz w:val="24"/>
            </w:rPr>
            <w:fldChar w:fldCharType="separate"/>
          </w:r>
          <w:r>
            <w:rPr>
              <w:rFonts w:asciiTheme="minorEastAsia" w:hAnsiTheme="minorEastAsia" w:cstheme="minorEastAsia"/>
              <w:sz w:val="24"/>
            </w:rPr>
            <w:t>1</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74973626">
          <w:pPr>
            <w:pStyle w:val="8"/>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_Toc3124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第二章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评估与函证相关的舞弊风险</w:t>
          </w:r>
          <w:r>
            <w:rPr>
              <w:rFonts w:asciiTheme="minorEastAsia" w:hAnsiTheme="minorEastAsia" w:cstheme="minorEastAsia"/>
              <w:b/>
              <w:bCs/>
              <w:sz w:val="24"/>
            </w:rPr>
            <w:tab/>
          </w:r>
          <w:r>
            <w:rPr>
              <w:rFonts w:asciiTheme="minorEastAsia" w:hAnsiTheme="minorEastAsia" w:cstheme="minorEastAsia"/>
              <w:b/>
              <w:bCs/>
              <w:sz w:val="24"/>
            </w:rPr>
            <w:fldChar w:fldCharType="begin"/>
          </w:r>
          <w:r>
            <w:rPr>
              <w:rFonts w:asciiTheme="minorEastAsia" w:hAnsiTheme="minorEastAsia" w:cstheme="minorEastAsia"/>
              <w:b/>
              <w:bCs/>
              <w:sz w:val="24"/>
            </w:rPr>
            <w:instrText xml:space="preserve"> PAGEREF _Toc3124 \h </w:instrText>
          </w:r>
          <w:r>
            <w:rPr>
              <w:rFonts w:asciiTheme="minorEastAsia" w:hAnsiTheme="minorEastAsia" w:cstheme="minorEastAsia"/>
              <w:b/>
              <w:bCs/>
              <w:sz w:val="24"/>
            </w:rPr>
            <w:fldChar w:fldCharType="separate"/>
          </w:r>
          <w:r>
            <w:rPr>
              <w:rFonts w:asciiTheme="minorEastAsia" w:hAnsiTheme="minorEastAsia" w:cstheme="minorEastAsia"/>
              <w:b/>
              <w:bCs/>
              <w:sz w:val="24"/>
            </w:rPr>
            <w:t>3</w:t>
          </w:r>
          <w:r>
            <w:rPr>
              <w:rFonts w:asciiTheme="minorEastAsia" w:hAnsiTheme="minorEastAsia" w:cstheme="minorEastAsia"/>
              <w:b/>
              <w:bCs/>
              <w:sz w:val="24"/>
            </w:rPr>
            <w:fldChar w:fldCharType="end"/>
          </w:r>
          <w:r>
            <w:rPr>
              <w:rFonts w:hint="eastAsia" w:asciiTheme="minorEastAsia" w:hAnsiTheme="minorEastAsia" w:eastAsiaTheme="minorEastAsia" w:cstheme="minorEastAsia"/>
              <w:b/>
              <w:bCs/>
              <w:sz w:val="24"/>
            </w:rPr>
            <w:fldChar w:fldCharType="end"/>
          </w:r>
        </w:p>
        <w:p w14:paraId="2DC03F18">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_Toc1165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一、函证前对被审计单位可能存在的舞弊风险的评估程序</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_Toc1165 \h </w:instrText>
          </w:r>
          <w:r>
            <w:rPr>
              <w:rFonts w:asciiTheme="minorEastAsia" w:hAnsiTheme="minorEastAsia" w:cstheme="minorEastAsia"/>
              <w:sz w:val="24"/>
            </w:rPr>
            <w:fldChar w:fldCharType="separate"/>
          </w:r>
          <w:r>
            <w:rPr>
              <w:rFonts w:asciiTheme="minorEastAsia" w:hAnsiTheme="minorEastAsia" w:cstheme="minorEastAsia"/>
              <w:sz w:val="24"/>
            </w:rPr>
            <w:t>3</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756BA681">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_Toc7687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二、执行函证时需关注的舞弊风险重要考虑因素</w:t>
          </w:r>
          <w:r>
            <w:rPr>
              <w:rFonts w:asciiTheme="minorEastAsia" w:hAnsiTheme="minorEastAsia" w:cstheme="minorEastAsia"/>
              <w:sz w:val="24"/>
            </w:rPr>
            <w:tab/>
          </w:r>
          <w:r>
            <w:rPr>
              <w:rFonts w:asciiTheme="minorEastAsia" w:hAnsiTheme="minorEastAsia" w:cstheme="minorEastAsia"/>
              <w:sz w:val="24"/>
            </w:rPr>
            <w:fldChar w:fldCharType="begin"/>
          </w:r>
          <w:r>
            <w:rPr>
              <w:rFonts w:asciiTheme="minorEastAsia" w:hAnsiTheme="minorEastAsia" w:cstheme="minorEastAsia"/>
              <w:sz w:val="24"/>
            </w:rPr>
            <w:instrText xml:space="preserve"> PAGEREF _Toc7687 \h </w:instrText>
          </w:r>
          <w:r>
            <w:rPr>
              <w:rFonts w:asciiTheme="minorEastAsia" w:hAnsiTheme="minorEastAsia" w:cstheme="minorEastAsia"/>
              <w:sz w:val="24"/>
            </w:rPr>
            <w:fldChar w:fldCharType="separate"/>
          </w:r>
          <w:r>
            <w:rPr>
              <w:rFonts w:asciiTheme="minorEastAsia" w:hAnsiTheme="minorEastAsia" w:cstheme="minorEastAsia"/>
              <w:sz w:val="24"/>
            </w:rPr>
            <w:t>4</w:t>
          </w:r>
          <w:r>
            <w:rPr>
              <w:rFonts w:asciiTheme="minorEastAsia" w:hAnsiTheme="minorEastAsia" w:cstheme="minorEastAsia"/>
              <w:sz w:val="24"/>
            </w:rPr>
            <w:fldChar w:fldCharType="end"/>
          </w:r>
          <w:r>
            <w:rPr>
              <w:rFonts w:hint="eastAsia" w:asciiTheme="minorEastAsia" w:hAnsiTheme="minorEastAsia" w:eastAsiaTheme="minorEastAsia" w:cstheme="minorEastAsia"/>
              <w:bCs/>
              <w:sz w:val="24"/>
            </w:rPr>
            <w:fldChar w:fldCharType="end"/>
          </w:r>
        </w:p>
        <w:p w14:paraId="6DE0650A">
          <w:pPr>
            <w:pStyle w:val="8"/>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_Toc5046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第三章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函证操作流程</w:t>
          </w:r>
          <w:r>
            <w:rPr>
              <w:rFonts w:asciiTheme="minorEastAsia" w:hAnsiTheme="minorEastAsia" w:cstheme="minorEastAsia"/>
              <w:b/>
              <w:bCs/>
              <w:sz w:val="24"/>
            </w:rPr>
            <w:tab/>
          </w:r>
          <w:r>
            <w:rPr>
              <w:rFonts w:asciiTheme="minorEastAsia" w:hAnsiTheme="minorEastAsia" w:cstheme="minorEastAsia"/>
              <w:b/>
              <w:bCs/>
              <w:sz w:val="24"/>
            </w:rPr>
            <w:t>6</w:t>
          </w:r>
          <w:r>
            <w:rPr>
              <w:rFonts w:hint="eastAsia" w:asciiTheme="minorEastAsia" w:hAnsiTheme="minorEastAsia" w:eastAsiaTheme="minorEastAsia" w:cstheme="minorEastAsia"/>
              <w:b/>
              <w:bCs/>
              <w:sz w:val="24"/>
            </w:rPr>
            <w:fldChar w:fldCharType="end"/>
          </w:r>
        </w:p>
        <w:p w14:paraId="3D53346C">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_Toc20292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一、函证操作流程</w:t>
          </w:r>
          <w:r>
            <w:rPr>
              <w:rFonts w:asciiTheme="minorEastAsia" w:hAnsiTheme="minorEastAsia" w:cstheme="minorEastAsia"/>
              <w:sz w:val="24"/>
            </w:rPr>
            <w:tab/>
          </w:r>
          <w:r>
            <w:rPr>
              <w:rFonts w:asciiTheme="minorEastAsia" w:hAnsiTheme="minorEastAsia" w:cstheme="minorEastAsia"/>
              <w:sz w:val="24"/>
            </w:rPr>
            <w:t>6</w:t>
          </w:r>
          <w:r>
            <w:rPr>
              <w:rFonts w:hint="eastAsia" w:asciiTheme="minorEastAsia" w:hAnsiTheme="minorEastAsia" w:eastAsiaTheme="minorEastAsia" w:cstheme="minorEastAsia"/>
              <w:bCs/>
              <w:sz w:val="24"/>
            </w:rPr>
            <w:fldChar w:fldCharType="end"/>
          </w:r>
        </w:p>
        <w:p w14:paraId="7C6A7AEF">
          <w:pPr>
            <w:pStyle w:val="10"/>
            <w:tabs>
              <w:tab w:val="right" w:leader="dot" w:pos="8504"/>
            </w:tabs>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_Toc24055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二、关于集约化函证的提醒</w:t>
          </w:r>
          <w:r>
            <w:rPr>
              <w:rFonts w:asciiTheme="minorEastAsia" w:hAnsiTheme="minorEastAsia" w:cstheme="minorEastAsia"/>
              <w:sz w:val="24"/>
            </w:rPr>
            <w:tab/>
          </w:r>
          <w:r>
            <w:rPr>
              <w:rFonts w:asciiTheme="minorEastAsia" w:hAnsiTheme="minorEastAsia" w:cstheme="minorEastAsia"/>
              <w:sz w:val="24"/>
            </w:rPr>
            <w:t>7</w:t>
          </w:r>
          <w:r>
            <w:rPr>
              <w:rFonts w:hint="eastAsia" w:asciiTheme="minorEastAsia" w:hAnsiTheme="minorEastAsia" w:eastAsiaTheme="minorEastAsia" w:cstheme="minorEastAsia"/>
              <w:bCs/>
              <w:sz w:val="24"/>
            </w:rPr>
            <w:fldChar w:fldCharType="end"/>
          </w:r>
        </w:p>
        <w:p w14:paraId="72A561AD">
          <w:pPr>
            <w:pStyle w:val="8"/>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_Toc5046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第四章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函证操作规范</w:t>
          </w:r>
          <w:r>
            <w:rPr>
              <w:rFonts w:asciiTheme="minorEastAsia" w:hAnsiTheme="minorEastAsia" w:cstheme="minorEastAsia"/>
              <w:b/>
              <w:bCs/>
              <w:sz w:val="24"/>
            </w:rPr>
            <w:tab/>
          </w:r>
          <w:r>
            <w:rPr>
              <w:rFonts w:asciiTheme="minorEastAsia" w:hAnsiTheme="minorEastAsia" w:cstheme="minorEastAsia"/>
              <w:b/>
              <w:bCs/>
              <w:sz w:val="24"/>
            </w:rPr>
            <w:t>8</w:t>
          </w:r>
          <w:r>
            <w:rPr>
              <w:rFonts w:hint="eastAsia" w:asciiTheme="minorEastAsia" w:hAnsiTheme="minorEastAsia" w:eastAsiaTheme="minorEastAsia" w:cstheme="minorEastAsia"/>
              <w:b/>
              <w:bCs/>
              <w:sz w:val="24"/>
            </w:rPr>
            <w:fldChar w:fldCharType="end"/>
          </w:r>
        </w:p>
        <w:p w14:paraId="58317D29">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_Toc26682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第一节</w:t>
          </w:r>
          <w:r>
            <w:rPr>
              <w:rFonts w:asciiTheme="minorEastAsia" w:hAnsiTheme="minorEastAsia" w:cstheme="minorEastAsia"/>
              <w:bCs/>
              <w:sz w:val="24"/>
            </w:rPr>
            <w:t xml:space="preserve">  </w:t>
          </w:r>
          <w:r>
            <w:rPr>
              <w:rFonts w:hint="eastAsia" w:asciiTheme="minorEastAsia" w:hAnsiTheme="minorEastAsia" w:cstheme="minorEastAsia"/>
              <w:bCs/>
              <w:sz w:val="24"/>
            </w:rPr>
            <w:t>制定函证计划</w:t>
          </w:r>
          <w:r>
            <w:rPr>
              <w:rFonts w:asciiTheme="minorEastAsia" w:hAnsiTheme="minorEastAsia" w:cstheme="minorEastAsia"/>
              <w:sz w:val="24"/>
            </w:rPr>
            <w:tab/>
          </w:r>
          <w:r>
            <w:rPr>
              <w:rFonts w:asciiTheme="minorEastAsia" w:hAnsiTheme="minorEastAsia" w:cstheme="minorEastAsia"/>
              <w:sz w:val="24"/>
            </w:rPr>
            <w:t>8</w:t>
          </w:r>
          <w:r>
            <w:rPr>
              <w:rFonts w:hint="eastAsia" w:asciiTheme="minorEastAsia" w:hAnsiTheme="minorEastAsia" w:eastAsiaTheme="minorEastAsia" w:cstheme="minorEastAsia"/>
              <w:bCs/>
              <w:sz w:val="24"/>
            </w:rPr>
            <w:fldChar w:fldCharType="end"/>
          </w:r>
        </w:p>
        <w:p w14:paraId="779D28E7">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_Toc30476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第二节</w:t>
          </w:r>
          <w:r>
            <w:rPr>
              <w:rFonts w:asciiTheme="minorEastAsia" w:hAnsiTheme="minorEastAsia" w:cstheme="minorEastAsia"/>
              <w:bCs/>
              <w:sz w:val="24"/>
            </w:rPr>
            <w:t xml:space="preserve">  </w:t>
          </w:r>
          <w:r>
            <w:rPr>
              <w:rFonts w:hint="eastAsia" w:asciiTheme="minorEastAsia" w:hAnsiTheme="minorEastAsia" w:cstheme="minorEastAsia"/>
              <w:bCs/>
              <w:sz w:val="24"/>
            </w:rPr>
            <w:t>确定函证事项</w:t>
          </w:r>
          <w:r>
            <w:rPr>
              <w:rFonts w:asciiTheme="minorEastAsia" w:hAnsiTheme="minorEastAsia" w:cstheme="minorEastAsia"/>
              <w:sz w:val="24"/>
            </w:rPr>
            <w:tab/>
          </w:r>
          <w:r>
            <w:rPr>
              <w:rFonts w:asciiTheme="minorEastAsia" w:hAnsiTheme="minorEastAsia" w:cstheme="minorEastAsia"/>
              <w:sz w:val="24"/>
            </w:rPr>
            <w:t>9</w:t>
          </w:r>
          <w:r>
            <w:rPr>
              <w:rFonts w:hint="eastAsia" w:asciiTheme="minorEastAsia" w:hAnsiTheme="minorEastAsia" w:eastAsiaTheme="minorEastAsia" w:cstheme="minorEastAsia"/>
              <w:bCs/>
              <w:sz w:val="24"/>
            </w:rPr>
            <w:fldChar w:fldCharType="end"/>
          </w:r>
        </w:p>
        <w:p w14:paraId="6D50D7CE">
          <w:pPr>
            <w:pStyle w:val="10"/>
            <w:tabs>
              <w:tab w:val="right" w:leader="dot" w:pos="8504"/>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_Toc4021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第三节</w:t>
          </w:r>
          <w:r>
            <w:rPr>
              <w:rFonts w:asciiTheme="minorEastAsia" w:hAnsiTheme="minorEastAsia" w:cstheme="minorEastAsia"/>
              <w:bCs/>
              <w:sz w:val="24"/>
            </w:rPr>
            <w:t xml:space="preserve">  </w:t>
          </w:r>
          <w:r>
            <w:rPr>
              <w:rFonts w:hint="eastAsia" w:asciiTheme="minorEastAsia" w:hAnsiTheme="minorEastAsia" w:cstheme="minorEastAsia"/>
              <w:bCs/>
              <w:sz w:val="24"/>
            </w:rPr>
            <w:t>确定函证项目（样本选择）</w:t>
          </w:r>
          <w:r>
            <w:rPr>
              <w:rFonts w:asciiTheme="minorEastAsia" w:hAnsiTheme="minorEastAsia" w:cstheme="minorEastAsia"/>
              <w:sz w:val="24"/>
            </w:rPr>
            <w:tab/>
          </w:r>
          <w:r>
            <w:rPr>
              <w:rFonts w:asciiTheme="minorEastAsia" w:hAnsiTheme="minorEastAsia" w:cstheme="minorEastAsia"/>
              <w:sz w:val="24"/>
            </w:rPr>
            <w:t>1</w:t>
          </w:r>
          <w:r>
            <w:rPr>
              <w:rFonts w:hint="eastAsia" w:asciiTheme="minorEastAsia" w:hAnsiTheme="minorEastAsia" w:eastAsiaTheme="minorEastAsia" w:cstheme="minorEastAsia"/>
              <w:bCs/>
              <w:sz w:val="24"/>
            </w:rPr>
            <w:fldChar w:fldCharType="end"/>
          </w:r>
          <w:r>
            <w:rPr>
              <w:rFonts w:asciiTheme="minorEastAsia" w:hAnsiTheme="minorEastAsia" w:eastAsiaTheme="minorEastAsia" w:cstheme="minorEastAsia"/>
              <w:bCs/>
              <w:sz w:val="24"/>
            </w:rPr>
            <w:t>3</w:t>
          </w:r>
        </w:p>
        <w:p w14:paraId="60C8AD5B">
          <w:pPr>
            <w:pStyle w:val="10"/>
            <w:tabs>
              <w:tab w:val="right" w:leader="dot" w:pos="8504"/>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_Toc19595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第四节</w:t>
          </w:r>
          <w:r>
            <w:rPr>
              <w:rFonts w:asciiTheme="minorEastAsia" w:hAnsiTheme="minorEastAsia" w:cstheme="minorEastAsia"/>
              <w:bCs/>
              <w:sz w:val="24"/>
            </w:rPr>
            <w:t xml:space="preserve">  </w:t>
          </w:r>
          <w:r>
            <w:rPr>
              <w:rFonts w:hint="eastAsia" w:asciiTheme="minorEastAsia" w:hAnsiTheme="minorEastAsia" w:cstheme="minorEastAsia"/>
              <w:bCs/>
              <w:sz w:val="24"/>
            </w:rPr>
            <w:t>核对被函证单位信息</w:t>
          </w:r>
          <w:r>
            <w:rPr>
              <w:rFonts w:asciiTheme="minorEastAsia" w:hAnsiTheme="minorEastAsia" w:cstheme="minorEastAsia"/>
              <w:sz w:val="24"/>
            </w:rPr>
            <w:tab/>
          </w:r>
          <w:r>
            <w:rPr>
              <w:rFonts w:asciiTheme="minorEastAsia" w:hAnsiTheme="minorEastAsia" w:cstheme="minorEastAsia"/>
              <w:sz w:val="24"/>
            </w:rPr>
            <w:t>2</w:t>
          </w:r>
          <w:r>
            <w:rPr>
              <w:rFonts w:hint="eastAsia" w:asciiTheme="minorEastAsia" w:hAnsiTheme="minorEastAsia" w:eastAsiaTheme="minorEastAsia" w:cstheme="minorEastAsia"/>
              <w:bCs/>
              <w:sz w:val="24"/>
            </w:rPr>
            <w:fldChar w:fldCharType="end"/>
          </w:r>
          <w:r>
            <w:rPr>
              <w:rFonts w:asciiTheme="minorEastAsia" w:hAnsiTheme="minorEastAsia" w:eastAsiaTheme="minorEastAsia" w:cstheme="minorEastAsia"/>
              <w:bCs/>
              <w:sz w:val="24"/>
            </w:rPr>
            <w:t>0</w:t>
          </w:r>
        </w:p>
        <w:p w14:paraId="0E00EFC0">
          <w:pPr>
            <w:pStyle w:val="10"/>
            <w:tabs>
              <w:tab w:val="right" w:leader="dot" w:pos="8504"/>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_Toc16135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第五节</w:t>
          </w:r>
          <w:r>
            <w:rPr>
              <w:rFonts w:asciiTheme="minorEastAsia" w:hAnsiTheme="minorEastAsia" w:cstheme="minorEastAsia"/>
              <w:bCs/>
              <w:sz w:val="24"/>
            </w:rPr>
            <w:t xml:space="preserve">  </w:t>
          </w:r>
          <w:r>
            <w:rPr>
              <w:rFonts w:hint="eastAsia" w:asciiTheme="minorEastAsia" w:hAnsiTheme="minorEastAsia" w:cstheme="minorEastAsia"/>
              <w:bCs/>
              <w:sz w:val="24"/>
            </w:rPr>
            <w:t>编制询证函</w:t>
          </w:r>
          <w:r>
            <w:rPr>
              <w:rFonts w:asciiTheme="minorEastAsia" w:hAnsiTheme="minorEastAsia" w:cstheme="minorEastAsia"/>
              <w:sz w:val="24"/>
            </w:rPr>
            <w:tab/>
          </w:r>
          <w:r>
            <w:rPr>
              <w:rFonts w:asciiTheme="minorEastAsia" w:hAnsiTheme="minorEastAsia" w:cstheme="minorEastAsia"/>
              <w:sz w:val="24"/>
            </w:rPr>
            <w:t>2</w:t>
          </w:r>
          <w:r>
            <w:rPr>
              <w:rFonts w:hint="eastAsia" w:asciiTheme="minorEastAsia" w:hAnsiTheme="minorEastAsia" w:eastAsiaTheme="minorEastAsia" w:cstheme="minorEastAsia"/>
              <w:bCs/>
              <w:sz w:val="24"/>
            </w:rPr>
            <w:fldChar w:fldCharType="end"/>
          </w:r>
          <w:r>
            <w:rPr>
              <w:rFonts w:asciiTheme="minorEastAsia" w:hAnsiTheme="minorEastAsia" w:eastAsiaTheme="minorEastAsia" w:cstheme="minorEastAsia"/>
              <w:bCs/>
              <w:sz w:val="24"/>
            </w:rPr>
            <w:t>1</w:t>
          </w:r>
        </w:p>
        <w:p w14:paraId="1FC88DDA">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_Toc29768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第六节</w:t>
          </w:r>
          <w:r>
            <w:rPr>
              <w:rFonts w:asciiTheme="minorEastAsia" w:hAnsiTheme="minorEastAsia" w:cstheme="minorEastAsia"/>
              <w:bCs/>
              <w:sz w:val="24"/>
            </w:rPr>
            <w:t xml:space="preserve">  </w:t>
          </w:r>
          <w:r>
            <w:rPr>
              <w:rFonts w:hint="eastAsia" w:asciiTheme="minorEastAsia" w:hAnsiTheme="minorEastAsia" w:cstheme="minorEastAsia"/>
              <w:bCs/>
              <w:sz w:val="24"/>
            </w:rPr>
            <w:t>打印询证函并盖章</w:t>
          </w:r>
          <w:r>
            <w:rPr>
              <w:rFonts w:asciiTheme="minorEastAsia" w:hAnsiTheme="minorEastAsia" w:cstheme="minorEastAsia"/>
              <w:sz w:val="24"/>
            </w:rPr>
            <w:tab/>
          </w:r>
          <w:r>
            <w:rPr>
              <w:rFonts w:hint="eastAsia" w:asciiTheme="minorEastAsia" w:hAnsiTheme="minorEastAsia" w:cstheme="minorEastAsia"/>
              <w:sz w:val="24"/>
            </w:rPr>
            <w:t>2</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5</w:t>
          </w:r>
        </w:p>
        <w:p w14:paraId="5408C385">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_Toc22358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第七节</w:t>
          </w:r>
          <w:r>
            <w:rPr>
              <w:rFonts w:asciiTheme="minorEastAsia" w:hAnsiTheme="minorEastAsia" w:cstheme="minorEastAsia"/>
              <w:bCs/>
              <w:sz w:val="24"/>
            </w:rPr>
            <w:t xml:space="preserve">  </w:t>
          </w:r>
          <w:r>
            <w:rPr>
              <w:rFonts w:hint="eastAsia" w:asciiTheme="minorEastAsia" w:hAnsiTheme="minorEastAsia" w:cstheme="minorEastAsia"/>
              <w:bCs/>
              <w:sz w:val="24"/>
            </w:rPr>
            <w:t>发出询证函</w:t>
          </w:r>
          <w:r>
            <w:rPr>
              <w:rFonts w:asciiTheme="minorEastAsia" w:hAnsiTheme="minorEastAsia" w:cstheme="minorEastAsia"/>
              <w:sz w:val="24"/>
            </w:rPr>
            <w:tab/>
          </w:r>
          <w:r>
            <w:rPr>
              <w:rFonts w:hint="eastAsia" w:asciiTheme="minorEastAsia" w:hAnsiTheme="minorEastAsia" w:cstheme="minorEastAsia"/>
              <w:sz w:val="24"/>
            </w:rPr>
            <w:t>2</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6</w:t>
          </w:r>
        </w:p>
        <w:p w14:paraId="44B8EFC0">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_Toc27373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第八节</w:t>
          </w:r>
          <w:r>
            <w:rPr>
              <w:rFonts w:asciiTheme="minorEastAsia" w:hAnsiTheme="minorEastAsia" w:cstheme="minorEastAsia"/>
              <w:bCs/>
              <w:sz w:val="24"/>
            </w:rPr>
            <w:t xml:space="preserve">  </w:t>
          </w:r>
          <w:r>
            <w:rPr>
              <w:rFonts w:hint="eastAsia" w:asciiTheme="minorEastAsia" w:hAnsiTheme="minorEastAsia" w:cstheme="minorEastAsia"/>
              <w:bCs/>
              <w:sz w:val="24"/>
            </w:rPr>
            <w:t>收回询证函</w:t>
          </w:r>
          <w:r>
            <w:rPr>
              <w:rFonts w:asciiTheme="minorEastAsia" w:hAnsiTheme="minorEastAsia" w:cstheme="minorEastAsia"/>
              <w:sz w:val="24"/>
            </w:rPr>
            <w:tab/>
          </w:r>
          <w:r>
            <w:rPr>
              <w:rFonts w:hint="eastAsia" w:asciiTheme="minorEastAsia" w:hAnsiTheme="minorEastAsia" w:cstheme="minorEastAsia"/>
              <w:sz w:val="24"/>
            </w:rPr>
            <w:t>3</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6</w:t>
          </w:r>
        </w:p>
        <w:p w14:paraId="4851C931">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_Toc27220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第九节</w:t>
          </w:r>
          <w:r>
            <w:rPr>
              <w:rFonts w:asciiTheme="minorEastAsia" w:hAnsiTheme="minorEastAsia" w:cstheme="minorEastAsia"/>
              <w:bCs/>
              <w:sz w:val="24"/>
            </w:rPr>
            <w:t xml:space="preserve">  </w:t>
          </w:r>
          <w:r>
            <w:rPr>
              <w:rFonts w:hint="eastAsia" w:asciiTheme="minorEastAsia" w:hAnsiTheme="minorEastAsia" w:cstheme="minorEastAsia"/>
              <w:bCs/>
              <w:sz w:val="24"/>
            </w:rPr>
            <w:t>函证结果评价</w:t>
          </w:r>
          <w:r>
            <w:rPr>
              <w:rFonts w:asciiTheme="minorEastAsia" w:hAnsiTheme="minorEastAsia" w:cstheme="minorEastAsia"/>
              <w:sz w:val="24"/>
            </w:rPr>
            <w:tab/>
          </w:r>
          <w:r>
            <w:rPr>
              <w:rFonts w:hint="eastAsia" w:asciiTheme="minorEastAsia" w:hAnsiTheme="minorEastAsia" w:cstheme="minorEastAsia"/>
              <w:sz w:val="24"/>
            </w:rPr>
            <w:t>4</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4</w:t>
          </w:r>
        </w:p>
        <w:p w14:paraId="5FE27004">
          <w:pPr>
            <w:pStyle w:val="8"/>
            <w:tabs>
              <w:tab w:val="right" w:leader="dot" w:pos="8504"/>
            </w:tabs>
            <w:spacing w:line="400" w:lineRule="exact"/>
            <w:rPr>
              <w:rFonts w:asciiTheme="minorEastAsia" w:hAnsiTheme="minorEastAsia" w:cstheme="minorEastAsia"/>
              <w:b/>
              <w:bCs/>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_Toc11339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第五章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记录和报告</w:t>
          </w:r>
          <w:r>
            <w:rPr>
              <w:rFonts w:asciiTheme="minorEastAsia" w:hAnsiTheme="minorEastAsia" w:cstheme="minorEastAsia"/>
              <w:b/>
              <w:bCs/>
              <w:sz w:val="24"/>
            </w:rPr>
            <w:tab/>
          </w:r>
          <w:r>
            <w:rPr>
              <w:rFonts w:asciiTheme="minorEastAsia" w:hAnsiTheme="minorEastAsia" w:cstheme="minorEastAsia"/>
              <w:b/>
              <w:bCs/>
              <w:sz w:val="24"/>
            </w:rPr>
            <w:t>5</w:t>
          </w:r>
          <w:r>
            <w:rPr>
              <w:rFonts w:hint="eastAsia" w:asciiTheme="minorEastAsia" w:hAnsiTheme="minorEastAsia" w:eastAsiaTheme="minorEastAsia" w:cstheme="minorEastAsia"/>
              <w:b/>
              <w:bCs/>
              <w:sz w:val="24"/>
            </w:rPr>
            <w:fldChar w:fldCharType="end"/>
          </w:r>
          <w:r>
            <w:rPr>
              <w:rFonts w:asciiTheme="minorEastAsia" w:hAnsiTheme="minorEastAsia" w:cstheme="minorEastAsia"/>
              <w:b/>
              <w:bCs/>
              <w:sz w:val="24"/>
            </w:rPr>
            <w:t>5</w:t>
          </w:r>
        </w:p>
        <w:p w14:paraId="5F203488">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_Toc6611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一、审计记录</w:t>
          </w:r>
          <w:r>
            <w:rPr>
              <w:rFonts w:asciiTheme="minorEastAsia" w:hAnsiTheme="minorEastAsia" w:cstheme="minorEastAsia"/>
              <w:sz w:val="24"/>
            </w:rPr>
            <w:tab/>
          </w:r>
          <w:r>
            <w:rPr>
              <w:rFonts w:hint="eastAsia" w:asciiTheme="minorEastAsia" w:hAnsiTheme="minorEastAsia" w:cstheme="minorEastAsia"/>
              <w:sz w:val="24"/>
            </w:rPr>
            <w:t>5</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5</w:t>
          </w:r>
        </w:p>
        <w:p w14:paraId="2DF8E792">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Cs/>
              <w:sz w:val="24"/>
            </w:rPr>
            <w:fldChar w:fldCharType="begin"/>
          </w:r>
          <w:r>
            <w:rPr>
              <w:rFonts w:asciiTheme="minorEastAsia" w:hAnsiTheme="minorEastAsia" w:eastAsiaTheme="minorEastAsia" w:cstheme="minorEastAsia"/>
              <w:bCs/>
              <w:sz w:val="24"/>
            </w:rPr>
            <w:instrText xml:space="preserve"> HYPERLINK \l _Toc6953 </w:instrText>
          </w:r>
          <w:r>
            <w:rPr>
              <w:rFonts w:hint="eastAsia" w:asciiTheme="minorEastAsia" w:hAnsiTheme="minorEastAsia" w:eastAsiaTheme="minorEastAsia" w:cstheme="minorEastAsia"/>
              <w:bCs/>
              <w:sz w:val="24"/>
            </w:rPr>
            <w:fldChar w:fldCharType="separate"/>
          </w:r>
          <w:r>
            <w:rPr>
              <w:rFonts w:hint="eastAsia" w:asciiTheme="minorEastAsia" w:hAnsiTheme="minorEastAsia" w:cstheme="minorEastAsia"/>
              <w:bCs/>
              <w:sz w:val="24"/>
            </w:rPr>
            <w:t>二、审计报告</w:t>
          </w:r>
          <w:r>
            <w:rPr>
              <w:rFonts w:asciiTheme="minorEastAsia" w:hAnsiTheme="minorEastAsia" w:cstheme="minorEastAsia"/>
              <w:sz w:val="24"/>
            </w:rPr>
            <w:tab/>
          </w:r>
          <w:r>
            <w:rPr>
              <w:rFonts w:hint="eastAsia" w:asciiTheme="minorEastAsia" w:hAnsiTheme="minorEastAsia" w:cstheme="minorEastAsia"/>
              <w:sz w:val="24"/>
            </w:rPr>
            <w:t>5</w:t>
          </w:r>
          <w:r>
            <w:rPr>
              <w:rFonts w:hint="eastAsia" w:asciiTheme="minorEastAsia" w:hAnsiTheme="minorEastAsia" w:eastAsiaTheme="minorEastAsia" w:cstheme="minorEastAsia"/>
              <w:bCs/>
              <w:sz w:val="24"/>
            </w:rPr>
            <w:fldChar w:fldCharType="end"/>
          </w:r>
          <w:r>
            <w:rPr>
              <w:rFonts w:hint="eastAsia" w:asciiTheme="minorEastAsia" w:hAnsiTheme="minorEastAsia" w:cstheme="minorEastAsia"/>
              <w:bCs/>
              <w:sz w:val="24"/>
            </w:rPr>
            <w:t>5</w:t>
          </w:r>
        </w:p>
        <w:p w14:paraId="62A226E3">
          <w:pPr>
            <w:pStyle w:val="8"/>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_Toc19660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第六章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银行函证和企业往来函证外其他事项函证的特殊考虑</w:t>
          </w:r>
          <w:r>
            <w:rPr>
              <w:rFonts w:asciiTheme="minorEastAsia" w:hAnsiTheme="minorEastAsia" w:cstheme="minorEastAsia"/>
              <w:b/>
              <w:bCs/>
              <w:sz w:val="24"/>
            </w:rPr>
            <w:tab/>
          </w:r>
          <w:r>
            <w:rPr>
              <w:rFonts w:asciiTheme="minorEastAsia" w:hAnsiTheme="minorEastAsia" w:cstheme="minorEastAsia"/>
              <w:b/>
              <w:bCs/>
              <w:sz w:val="24"/>
            </w:rPr>
            <w:t>5</w:t>
          </w:r>
          <w:r>
            <w:rPr>
              <w:rFonts w:hint="eastAsia" w:asciiTheme="minorEastAsia" w:hAnsiTheme="minorEastAsia" w:eastAsiaTheme="minorEastAsia" w:cstheme="minorEastAsia"/>
              <w:b/>
              <w:bCs/>
              <w:sz w:val="24"/>
            </w:rPr>
            <w:fldChar w:fldCharType="end"/>
          </w:r>
          <w:r>
            <w:rPr>
              <w:rFonts w:asciiTheme="minorEastAsia" w:hAnsiTheme="minorEastAsia" w:cstheme="minorEastAsia"/>
              <w:b/>
              <w:bCs/>
              <w:sz w:val="24"/>
            </w:rPr>
            <w:t>8</w:t>
          </w:r>
        </w:p>
        <w:p w14:paraId="0E502272">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cstheme="minorEastAsia"/>
              <w:bCs/>
              <w:sz w:val="24"/>
            </w:rPr>
            <w:fldChar w:fldCharType="begin"/>
          </w:r>
          <w:r>
            <w:rPr>
              <w:rFonts w:hint="eastAsia" w:asciiTheme="minorEastAsia" w:hAnsiTheme="minorEastAsia" w:cstheme="minorEastAsia"/>
              <w:bCs/>
              <w:sz w:val="24"/>
            </w:rPr>
            <w:instrText xml:space="preserve"> HYPERLINK \l _Toc26682 </w:instrText>
          </w:r>
          <w:r>
            <w:rPr>
              <w:rFonts w:hint="eastAsia" w:asciiTheme="minorEastAsia" w:hAnsiTheme="minorEastAsia" w:cstheme="minorEastAsia"/>
              <w:bCs/>
              <w:sz w:val="24"/>
            </w:rPr>
            <w:fldChar w:fldCharType="separate"/>
          </w:r>
          <w:r>
            <w:rPr>
              <w:rFonts w:hint="eastAsia" w:asciiTheme="minorEastAsia" w:hAnsiTheme="minorEastAsia" w:cstheme="minorEastAsia"/>
              <w:bCs/>
              <w:sz w:val="24"/>
            </w:rPr>
            <w:t xml:space="preserve">第一节  </w:t>
          </w:r>
          <w:r>
            <w:rPr>
              <w:rFonts w:hint="eastAsia" w:asciiTheme="minorEastAsia" w:hAnsiTheme="minorEastAsia" w:cstheme="minorEastAsia"/>
              <w:b w:val="0"/>
              <w:bCs w:val="0"/>
              <w:sz w:val="24"/>
            </w:rPr>
            <w:t>其他事项函证程序的特殊考虑</w:t>
          </w:r>
          <w:r>
            <w:rPr>
              <w:rFonts w:hint="eastAsia" w:asciiTheme="minorEastAsia" w:hAnsiTheme="minorEastAsia" w:cstheme="minorEastAsia"/>
              <w:sz w:val="24"/>
            </w:rPr>
            <w:tab/>
          </w:r>
          <w:r>
            <w:rPr>
              <w:rFonts w:hint="eastAsia" w:asciiTheme="minorEastAsia" w:hAnsiTheme="minorEastAsia" w:cstheme="minorEastAsia"/>
              <w:bCs/>
              <w:sz w:val="24"/>
            </w:rPr>
            <w:fldChar w:fldCharType="end"/>
          </w:r>
          <w:r>
            <w:rPr>
              <w:rFonts w:hint="eastAsia" w:asciiTheme="minorEastAsia" w:hAnsiTheme="minorEastAsia" w:cstheme="minorEastAsia"/>
              <w:bCs/>
              <w:sz w:val="24"/>
            </w:rPr>
            <w:t>58</w:t>
          </w:r>
        </w:p>
        <w:p w14:paraId="06F9F2F5">
          <w:pPr>
            <w:pStyle w:val="10"/>
            <w:tabs>
              <w:tab w:val="right" w:leader="dot" w:pos="8504"/>
            </w:tabs>
            <w:spacing w:line="400" w:lineRule="exact"/>
            <w:rPr>
              <w:rFonts w:asciiTheme="minorEastAsia" w:hAnsiTheme="minorEastAsia" w:cstheme="minorEastAsia"/>
              <w:sz w:val="24"/>
            </w:rPr>
          </w:pPr>
          <w:r>
            <w:rPr>
              <w:rFonts w:hint="eastAsia" w:asciiTheme="minorEastAsia" w:hAnsiTheme="minorEastAsia" w:cstheme="minorEastAsia"/>
              <w:bCs/>
              <w:sz w:val="24"/>
            </w:rPr>
            <w:fldChar w:fldCharType="begin"/>
          </w:r>
          <w:r>
            <w:rPr>
              <w:rFonts w:hint="eastAsia" w:asciiTheme="minorEastAsia" w:hAnsiTheme="minorEastAsia" w:cstheme="minorEastAsia"/>
              <w:bCs/>
              <w:sz w:val="24"/>
            </w:rPr>
            <w:instrText xml:space="preserve"> HYPERLINK \l _Toc26682 </w:instrText>
          </w:r>
          <w:r>
            <w:rPr>
              <w:rFonts w:hint="eastAsia" w:asciiTheme="minorEastAsia" w:hAnsiTheme="minorEastAsia" w:cstheme="minorEastAsia"/>
              <w:bCs/>
              <w:sz w:val="24"/>
            </w:rPr>
            <w:fldChar w:fldCharType="separate"/>
          </w:r>
          <w:r>
            <w:rPr>
              <w:rFonts w:hint="eastAsia" w:asciiTheme="minorEastAsia" w:hAnsiTheme="minorEastAsia" w:cstheme="minorEastAsia"/>
              <w:bCs/>
              <w:sz w:val="24"/>
            </w:rPr>
            <w:t xml:space="preserve">第二节  </w:t>
          </w:r>
          <w:r>
            <w:rPr>
              <w:rFonts w:hint="eastAsia" w:asciiTheme="minorEastAsia" w:hAnsiTheme="minorEastAsia" w:cstheme="minorEastAsia"/>
              <w:b w:val="0"/>
              <w:bCs w:val="0"/>
              <w:sz w:val="24"/>
            </w:rPr>
            <w:t>第三方支付平台函证的特殊考虑</w:t>
          </w:r>
          <w:r>
            <w:rPr>
              <w:rFonts w:hint="eastAsia" w:asciiTheme="minorEastAsia" w:hAnsiTheme="minorEastAsia" w:cstheme="minorEastAsia"/>
              <w:sz w:val="24"/>
            </w:rPr>
            <w:tab/>
          </w:r>
          <w:r>
            <w:rPr>
              <w:rFonts w:hint="eastAsia" w:asciiTheme="minorEastAsia" w:hAnsiTheme="minorEastAsia" w:cstheme="minorEastAsia"/>
              <w:bCs/>
              <w:sz w:val="24"/>
            </w:rPr>
            <w:fldChar w:fldCharType="end"/>
          </w:r>
          <w:r>
            <w:rPr>
              <w:rFonts w:hint="eastAsia" w:asciiTheme="minorEastAsia" w:hAnsiTheme="minorEastAsia" w:cstheme="minorEastAsia"/>
              <w:bCs/>
              <w:sz w:val="24"/>
            </w:rPr>
            <w:t>63</w:t>
          </w:r>
        </w:p>
        <w:p w14:paraId="23250970">
          <w:pPr>
            <w:pStyle w:val="8"/>
            <w:tabs>
              <w:tab w:val="right" w:leader="dot" w:pos="8504"/>
            </w:tabs>
            <w:spacing w:line="400" w:lineRule="exact"/>
            <w:rPr>
              <w:rFonts w:asciiTheme="minorEastAsia" w:hAnsiTheme="minorEastAsia" w:cstheme="minorEastAsia"/>
              <w:sz w:val="24"/>
            </w:rPr>
          </w:pPr>
          <w:r>
            <w:rPr>
              <w:rFonts w:hint="eastAsia" w:asciiTheme="minorEastAsia" w:hAnsiTheme="minorEastAsia" w:eastAsiaTheme="minorEastAsia" w:cstheme="minorEastAsia"/>
              <w:b/>
              <w:bCs/>
              <w:sz w:val="24"/>
            </w:rPr>
            <w:fldChar w:fldCharType="begin"/>
          </w:r>
          <w:r>
            <w:rPr>
              <w:rFonts w:asciiTheme="minorEastAsia" w:hAnsiTheme="minorEastAsia" w:eastAsiaTheme="minorEastAsia" w:cstheme="minorEastAsia"/>
              <w:b/>
              <w:bCs/>
              <w:sz w:val="24"/>
            </w:rPr>
            <w:instrText xml:space="preserve"> HYPERLINK \l _Toc2226 </w:instrText>
          </w:r>
          <w:r>
            <w:rPr>
              <w:rFonts w:hint="eastAsia" w:asciiTheme="minorEastAsia" w:hAnsiTheme="minorEastAsia" w:eastAsiaTheme="minorEastAsia" w:cstheme="minorEastAsia"/>
              <w:b/>
              <w:bCs/>
              <w:sz w:val="24"/>
            </w:rPr>
            <w:fldChar w:fldCharType="separate"/>
          </w:r>
          <w:r>
            <w:rPr>
              <w:rFonts w:hint="eastAsia" w:asciiTheme="minorEastAsia" w:hAnsiTheme="minorEastAsia" w:eastAsiaTheme="minorEastAsia" w:cstheme="minorEastAsia"/>
              <w:b/>
              <w:bCs/>
              <w:sz w:val="24"/>
              <w:szCs w:val="24"/>
            </w:rPr>
            <w:t>第七章</w:t>
          </w:r>
          <w:r>
            <w:rPr>
              <w:rFonts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rPr>
            <w:t>附则</w:t>
          </w:r>
          <w:r>
            <w:rPr>
              <w:rFonts w:asciiTheme="minorEastAsia" w:hAnsiTheme="minorEastAsia" w:cstheme="minorEastAsia"/>
              <w:b/>
              <w:bCs/>
              <w:sz w:val="24"/>
            </w:rPr>
            <w:tab/>
          </w:r>
          <w:r>
            <w:rPr>
              <w:rFonts w:asciiTheme="minorEastAsia" w:hAnsiTheme="minorEastAsia" w:cstheme="minorEastAsia"/>
              <w:b/>
              <w:bCs/>
              <w:sz w:val="24"/>
            </w:rPr>
            <w:fldChar w:fldCharType="begin"/>
          </w:r>
          <w:r>
            <w:rPr>
              <w:rFonts w:asciiTheme="minorEastAsia" w:hAnsiTheme="minorEastAsia" w:cstheme="minorEastAsia"/>
              <w:b/>
              <w:bCs/>
              <w:sz w:val="24"/>
            </w:rPr>
            <w:instrText xml:space="preserve"> PAGEREF _Toc2226 \h </w:instrText>
          </w:r>
          <w:r>
            <w:rPr>
              <w:rFonts w:asciiTheme="minorEastAsia" w:hAnsiTheme="minorEastAsia" w:cstheme="minorEastAsia"/>
              <w:b/>
              <w:bCs/>
              <w:sz w:val="24"/>
            </w:rPr>
            <w:fldChar w:fldCharType="separate"/>
          </w:r>
          <w:r>
            <w:rPr>
              <w:rFonts w:asciiTheme="minorEastAsia" w:hAnsiTheme="minorEastAsia" w:cstheme="minorEastAsia"/>
              <w:b/>
              <w:bCs/>
              <w:sz w:val="24"/>
            </w:rPr>
            <w:t>68</w:t>
          </w:r>
          <w:r>
            <w:rPr>
              <w:rFonts w:asciiTheme="minorEastAsia" w:hAnsiTheme="minorEastAsia" w:cstheme="minorEastAsia"/>
              <w:b/>
              <w:bCs/>
              <w:sz w:val="24"/>
            </w:rPr>
            <w:fldChar w:fldCharType="end"/>
          </w:r>
          <w:r>
            <w:rPr>
              <w:rFonts w:hint="eastAsia" w:asciiTheme="minorEastAsia" w:hAnsiTheme="minorEastAsia" w:eastAsiaTheme="minorEastAsia" w:cstheme="minorEastAsia"/>
              <w:b/>
              <w:bCs/>
              <w:sz w:val="24"/>
            </w:rPr>
            <w:fldChar w:fldCharType="end"/>
          </w:r>
        </w:p>
        <w:p w14:paraId="77B15220">
          <w:pPr>
            <w:spacing w:line="360" w:lineRule="auto"/>
            <w:rPr>
              <w:rFonts w:ascii="仿宋" w:hAnsi="仿宋" w:eastAsia="仿宋" w:cs="仿宋"/>
              <w:bCs/>
            </w:rPr>
            <w:sectPr>
              <w:footerReference r:id="rId6" w:type="default"/>
              <w:pgSz w:w="11906" w:h="16838"/>
              <w:pgMar w:top="1440" w:right="1701" w:bottom="1440" w:left="1701" w:header="851" w:footer="992" w:gutter="0"/>
              <w:pgNumType w:start="1"/>
              <w:cols w:space="425" w:num="1"/>
              <w:docGrid w:type="lines" w:linePitch="312" w:charSpace="0"/>
            </w:sectPr>
          </w:pPr>
          <w:r>
            <w:rPr>
              <w:rFonts w:asciiTheme="majorEastAsia" w:hAnsiTheme="majorEastAsia" w:eastAsiaTheme="majorEastAsia" w:cstheme="majorEastAsia"/>
              <w:bCs/>
              <w:sz w:val="24"/>
            </w:rPr>
            <w:fldChar w:fldCharType="end"/>
          </w:r>
        </w:p>
      </w:sdtContent>
    </w:sdt>
    <w:p w14:paraId="00C9AEBF">
      <w:pPr>
        <w:spacing w:line="360" w:lineRule="auto"/>
        <w:ind w:firstLine="0" w:firstLineChars="0"/>
        <w:jc w:val="center"/>
        <w:outlineLvl w:val="0"/>
        <w:rPr>
          <w:rFonts w:ascii="方正小标宋简体" w:hAnsi="方正小标宋简体" w:eastAsia="方正小标宋简体" w:cs="方正小标宋简体"/>
          <w:b w:val="0"/>
          <w:bCs w:val="0"/>
          <w:sz w:val="30"/>
          <w:szCs w:val="30"/>
        </w:rPr>
      </w:pPr>
      <w:bookmarkStart w:id="0" w:name="_Toc28066"/>
      <w:bookmarkStart w:id="1" w:name="_Toc7401"/>
      <w:bookmarkStart w:id="2" w:name="_Toc4623"/>
      <w:r>
        <w:rPr>
          <w:rFonts w:hint="eastAsia" w:ascii="方正小标宋简体" w:hAnsi="方正小标宋简体" w:eastAsia="方正小标宋简体" w:cs="方正小标宋简体"/>
          <w:b w:val="0"/>
          <w:bCs w:val="0"/>
          <w:sz w:val="30"/>
          <w:szCs w:val="30"/>
        </w:rPr>
        <w:t>第一章</w:t>
      </w:r>
      <w:r>
        <w:rPr>
          <w:rFonts w:hint="eastAsia" w:ascii="方正小标宋简体" w:hAnsi="方正小标宋简体" w:eastAsia="方正小标宋简体" w:cs="方正小标宋简体"/>
          <w:sz w:val="30"/>
          <w:szCs w:val="30"/>
        </w:rPr>
        <w:t xml:space="preserve">  </w:t>
      </w:r>
      <w:r>
        <w:rPr>
          <w:rFonts w:hint="eastAsia" w:ascii="方正小标宋简体" w:hAnsi="方正小标宋简体" w:eastAsia="方正小标宋简体" w:cs="方正小标宋简体"/>
          <w:b w:val="0"/>
          <w:bCs w:val="0"/>
          <w:sz w:val="30"/>
          <w:szCs w:val="30"/>
        </w:rPr>
        <w:t>总则</w:t>
      </w:r>
      <w:bookmarkEnd w:id="0"/>
      <w:bookmarkEnd w:id="1"/>
      <w:bookmarkEnd w:id="2"/>
    </w:p>
    <w:p w14:paraId="268635B1">
      <w:pPr>
        <w:snapToGrid w:val="0"/>
        <w:spacing w:line="360" w:lineRule="auto"/>
        <w:ind w:firstLine="482" w:firstLineChars="200"/>
        <w:outlineLvl w:val="1"/>
        <w:rPr>
          <w:rFonts w:asciiTheme="minorEastAsia" w:hAnsiTheme="minorEastAsia" w:cstheme="minorEastAsia"/>
          <w:b/>
          <w:bCs/>
          <w:sz w:val="24"/>
        </w:rPr>
      </w:pPr>
      <w:bookmarkStart w:id="3" w:name="_Toc24510"/>
      <w:bookmarkStart w:id="4" w:name="_Toc4755"/>
    </w:p>
    <w:p w14:paraId="3102E830">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5" w:name="_Toc28946"/>
      <w:r>
        <w:rPr>
          <w:rFonts w:hint="eastAsia" w:asciiTheme="minorEastAsia" w:hAnsiTheme="minorEastAsia" w:eastAsiaTheme="minorEastAsia" w:cstheme="minorEastAsia"/>
          <w:b/>
          <w:bCs/>
          <w:sz w:val="24"/>
        </w:rPr>
        <w:t>一、制定目的与依据</w:t>
      </w:r>
      <w:bookmarkEnd w:id="3"/>
      <w:bookmarkEnd w:id="4"/>
      <w:bookmarkEnd w:id="5"/>
      <w:r>
        <w:rPr>
          <w:rFonts w:asciiTheme="minorEastAsia" w:hAnsiTheme="minorEastAsia" w:eastAsiaTheme="minorEastAsia" w:cstheme="minorEastAsia"/>
          <w:b/>
          <w:bCs/>
          <w:sz w:val="24"/>
        </w:rPr>
        <w:t xml:space="preserve"> </w:t>
      </w:r>
    </w:p>
    <w:p w14:paraId="6DBFBA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为进一步规范注册会计师在财务报表审计中实施函证程序，提高执业质量、防范执业风险，依据《中国注册会计师审计准则第</w:t>
      </w:r>
      <w:r>
        <w:rPr>
          <w:rFonts w:asciiTheme="minorEastAsia" w:hAnsiTheme="minorEastAsia" w:eastAsiaTheme="minorEastAsia" w:cstheme="minorEastAsia"/>
          <w:sz w:val="24"/>
        </w:rPr>
        <w:t>1312号——函证》及《应用指南》和《中国注册会计师审计准则问题解答第2号——函证》及《关于加快推进银行函证规范化、集约化、数字化建设的通知》</w:t>
      </w:r>
      <w:r>
        <w:rPr>
          <w:rFonts w:asciiTheme="minorEastAsia" w:hAnsiTheme="minorEastAsia" w:cstheme="minorEastAsia"/>
          <w:sz w:val="24"/>
        </w:rPr>
        <w:t>(</w:t>
      </w:r>
      <w:r>
        <w:rPr>
          <w:rFonts w:asciiTheme="minorEastAsia" w:hAnsiTheme="minorEastAsia" w:eastAsiaTheme="minorEastAsia" w:cstheme="minorEastAsia"/>
          <w:sz w:val="24"/>
        </w:rPr>
        <w:t>财会〔2022〕39号）等相关文件，制定本操作指引。</w:t>
      </w:r>
    </w:p>
    <w:p w14:paraId="08F798DA">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6" w:name="_Toc13922"/>
      <w:bookmarkStart w:id="7" w:name="_Toc1199"/>
      <w:bookmarkStart w:id="8" w:name="_Toc792"/>
      <w:r>
        <w:rPr>
          <w:rFonts w:hint="eastAsia" w:asciiTheme="minorEastAsia" w:hAnsiTheme="minorEastAsia" w:eastAsiaTheme="minorEastAsia" w:cstheme="minorEastAsia"/>
          <w:b/>
          <w:bCs/>
          <w:sz w:val="24"/>
        </w:rPr>
        <w:t>二、总体要求</w:t>
      </w:r>
      <w:bookmarkEnd w:id="6"/>
      <w:bookmarkEnd w:id="7"/>
      <w:bookmarkEnd w:id="8"/>
    </w:p>
    <w:p w14:paraId="473A3E2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操作指引旨在针对函证有关的实务问题，提示注册会计师在设计和实施函证程序时需要关注的事项以及如何履行函证程序，仅供注册会计师在执业时参考，不能替代相关法律法规、执业准则以及注册会计师的职业判断。注册会计师应当考虑评估的认定层次重大错报风险，以及通过实施其他审计程序获取的审计证据如何将检查风险降至可接受的水平，确定实施函证程序的必要性。注册会计师实施函证程序应遵循中国注册会计师审计准则及应用指南的规定，保持职业怀疑，并根据风险评估结果，结合被审计单位实际情况，设计并采取适当的应对措施。</w:t>
      </w:r>
    </w:p>
    <w:p w14:paraId="5AB503DB">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9" w:name="_Toc24526"/>
      <w:bookmarkStart w:id="10" w:name="_Toc17086"/>
      <w:bookmarkStart w:id="11" w:name="_Toc24941"/>
      <w:r>
        <w:rPr>
          <w:rFonts w:hint="eastAsia" w:asciiTheme="minorEastAsia" w:hAnsiTheme="minorEastAsia" w:eastAsiaTheme="minorEastAsia" w:cstheme="minorEastAsia"/>
          <w:b/>
          <w:bCs/>
          <w:sz w:val="24"/>
        </w:rPr>
        <w:t>三、函证程序目标</w:t>
      </w:r>
      <w:bookmarkEnd w:id="9"/>
      <w:bookmarkEnd w:id="10"/>
      <w:bookmarkEnd w:id="11"/>
    </w:p>
    <w:p w14:paraId="43C0FD5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注册会计师实施函证程序的目标是为了直接从被询证者获取书面答复（含纸质、电子或其他介质等形式），以获取认定层次的充分、适当的审计证据，降低审计风险。</w:t>
      </w:r>
    </w:p>
    <w:p w14:paraId="6B8ED509">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12" w:name="_Toc3315"/>
      <w:bookmarkStart w:id="13" w:name="_Toc25165"/>
      <w:bookmarkStart w:id="14" w:name="_Toc22059"/>
      <w:r>
        <w:rPr>
          <w:rFonts w:hint="eastAsia" w:asciiTheme="minorEastAsia" w:hAnsiTheme="minorEastAsia" w:eastAsiaTheme="minorEastAsia" w:cstheme="minorEastAsia"/>
          <w:b/>
          <w:bCs/>
          <w:sz w:val="24"/>
        </w:rPr>
        <w:t>四、职业道德要求</w:t>
      </w:r>
      <w:bookmarkEnd w:id="12"/>
      <w:bookmarkEnd w:id="13"/>
      <w:bookmarkEnd w:id="14"/>
    </w:p>
    <w:p w14:paraId="60CBC74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注册会计师实施函证程序应当遵循中国注册会计师职业道德守则相关规定，恪守独立、客观、公正的原则，勤勉尽责，并对执业过程中获知的信息保密。</w:t>
      </w:r>
    </w:p>
    <w:p w14:paraId="798DA0D7">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15" w:name="_Toc6086"/>
      <w:bookmarkStart w:id="16" w:name="_Toc26907"/>
      <w:bookmarkStart w:id="17" w:name="_Toc18341"/>
      <w:r>
        <w:rPr>
          <w:rFonts w:hint="eastAsia" w:asciiTheme="minorEastAsia" w:hAnsiTheme="minorEastAsia" w:eastAsiaTheme="minorEastAsia" w:cstheme="minorEastAsia"/>
          <w:b/>
          <w:bCs/>
          <w:sz w:val="24"/>
        </w:rPr>
        <w:t>五、适用范围提示</w:t>
      </w:r>
      <w:bookmarkEnd w:id="15"/>
      <w:bookmarkEnd w:id="16"/>
      <w:bookmarkEnd w:id="17"/>
    </w:p>
    <w:p w14:paraId="7A124AB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操作指引主要内容依据前述函证准则编写，适用注册会计师执行财务报表审计业务。注册会计师在执行财务报表审计以外的其他鉴证业务时，实施函证程序可能不适用本指引相关内容。注册会计师执行其他鉴证业务应遵循相关法律法规、注册会计师执业准则的规定，保持职业怀疑，合理设计、实施审计程序，提高执业质量，防范执业风险。</w:t>
      </w:r>
    </w:p>
    <w:p w14:paraId="3EE0EAF0">
      <w:pPr>
        <w:snapToGrid w:val="0"/>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本操作指引旨在针对函证操作实务，提示注册会计师在设计和实施函证程序时需要关注的事项以及如何履行函证程序。本操作指引可能并未穷尽注册会计师在实施函证程序时可能实施的所有审计工作和应对措施，所列举的审计程序也并不意味着注册会计师在所有情况下都必须实施。注册会计师应根据风险评估结果和审计计划，结合被审计单位的实际情况，设计和实施函证程序，并对具体负责实施函证程序的项目人员给予指导。</w:t>
      </w:r>
    </w:p>
    <w:p w14:paraId="68C0C4CF">
      <w:pPr>
        <w:snapToGrid w:val="0"/>
        <w:spacing w:line="360" w:lineRule="auto"/>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br w:type="page"/>
      </w:r>
    </w:p>
    <w:p w14:paraId="22271958">
      <w:pPr>
        <w:snapToGrid w:val="0"/>
        <w:spacing w:line="360" w:lineRule="auto"/>
        <w:ind w:firstLine="0" w:firstLineChars="0"/>
        <w:jc w:val="center"/>
        <w:outlineLvl w:val="0"/>
        <w:rPr>
          <w:rFonts w:ascii="方正小标宋简体" w:hAnsi="方正小标宋简体" w:eastAsia="方正小标宋简体" w:cs="方正小标宋简体"/>
          <w:b w:val="0"/>
          <w:bCs w:val="0"/>
          <w:sz w:val="30"/>
          <w:szCs w:val="30"/>
        </w:rPr>
      </w:pPr>
      <w:bookmarkStart w:id="18" w:name="_Toc12345"/>
      <w:bookmarkStart w:id="19" w:name="_Toc27724"/>
      <w:bookmarkStart w:id="20" w:name="_Toc3124"/>
      <w:r>
        <w:rPr>
          <w:rFonts w:hint="eastAsia" w:ascii="方正小标宋简体" w:hAnsi="方正小标宋简体" w:eastAsia="方正小标宋简体" w:cs="方正小标宋简体"/>
          <w:b w:val="0"/>
          <w:bCs w:val="0"/>
          <w:sz w:val="30"/>
          <w:szCs w:val="30"/>
        </w:rPr>
        <w:t>第二章</w:t>
      </w:r>
      <w:r>
        <w:rPr>
          <w:rFonts w:ascii="方正小标宋简体" w:hAnsi="方正小标宋简体" w:eastAsia="方正小标宋简体" w:cs="方正小标宋简体"/>
          <w:sz w:val="30"/>
          <w:szCs w:val="30"/>
        </w:rPr>
        <w:t xml:space="preserve">  </w:t>
      </w:r>
      <w:r>
        <w:rPr>
          <w:rFonts w:hint="eastAsia" w:ascii="方正小标宋简体" w:hAnsi="方正小标宋简体" w:eastAsia="方正小标宋简体" w:cs="方正小标宋简体"/>
          <w:b w:val="0"/>
          <w:bCs w:val="0"/>
          <w:sz w:val="30"/>
          <w:szCs w:val="30"/>
        </w:rPr>
        <w:t>评估与函证相关的舞弊风险</w:t>
      </w:r>
      <w:bookmarkEnd w:id="18"/>
      <w:bookmarkEnd w:id="19"/>
      <w:bookmarkEnd w:id="20"/>
    </w:p>
    <w:p w14:paraId="25109D04">
      <w:pPr>
        <w:snapToGrid w:val="0"/>
        <w:spacing w:line="360" w:lineRule="auto"/>
        <w:ind w:firstLine="482" w:firstLineChars="200"/>
        <w:rPr>
          <w:rFonts w:asciiTheme="minorEastAsia" w:hAnsiTheme="minorEastAsia" w:eastAsiaTheme="minorEastAsia" w:cstheme="minorEastAsia"/>
          <w:b/>
          <w:bCs/>
          <w:sz w:val="24"/>
        </w:rPr>
      </w:pPr>
    </w:p>
    <w:p w14:paraId="0AC9602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审计过程中，函证是非常重要的基础性审计程序，不当设计的函证程序或执行中的失误可能导致审计失败，特别是在存在舞弊风险的情况下。因此，注册会计师在实施函证程序时，必须保持职业怀疑，识别和评估可能的舞弊风险。</w:t>
      </w:r>
    </w:p>
    <w:p w14:paraId="5FA95AB2">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21" w:name="_Toc1165"/>
      <w:bookmarkStart w:id="22" w:name="_Toc20324"/>
      <w:bookmarkStart w:id="23" w:name="_Toc30764"/>
      <w:r>
        <w:rPr>
          <w:rFonts w:hint="eastAsia" w:asciiTheme="minorEastAsia" w:hAnsiTheme="minorEastAsia" w:eastAsiaTheme="minorEastAsia" w:cstheme="minorEastAsia"/>
          <w:b/>
          <w:bCs/>
          <w:sz w:val="24"/>
        </w:rPr>
        <w:t>一、函证前对被审计单位可能存在的舞弊风险的评估程序</w:t>
      </w:r>
      <w:bookmarkEnd w:id="21"/>
      <w:bookmarkEnd w:id="22"/>
      <w:bookmarkEnd w:id="23"/>
    </w:p>
    <w:p w14:paraId="685BE66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通常情况下，为了获取用于识别函证有关的舞弊风险所需的信息，注册会计师可以考虑实施包括但不限于以下审计程序：</w:t>
      </w:r>
    </w:p>
    <w:p w14:paraId="69FF0DF0">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（一）询问管理层</w:t>
      </w:r>
      <w:r>
        <w:rPr>
          <w:rFonts w:hint="eastAsia" w:asciiTheme="minorEastAsia" w:hAnsiTheme="minorEastAsia" w:eastAsiaTheme="minorEastAsia" w:cstheme="minorEastAsia"/>
          <w:b/>
          <w:bCs/>
          <w:color w:val="auto"/>
          <w:sz w:val="24"/>
        </w:rPr>
        <w:t>或（及）内部控制管理相关人员</w:t>
      </w:r>
    </w:p>
    <w:p w14:paraId="1371EA9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了解被审计单位应对舞弊风险有关的控制环境，分析当前控制环境下是否可能存在实施舞弊的机会。例如，了解被审计单位针对与函证账户、交易及披露信息有关的舞弊风险设计的内部控制，及管理层针对舞弊风险及相关控制是否进行自我评估及所作评估的性质、范围和频率。</w:t>
      </w:r>
    </w:p>
    <w:p w14:paraId="0DE363EE">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（二）询问治理层</w:t>
      </w:r>
    </w:p>
    <w:p w14:paraId="6655C0A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了解其是否知悉任何与函证账户、交易及披露信息有关的舞弊事实、舞弊嫌疑或舞弊指控。由于治理层的重要职责在于监督管理层，因而其知悉舞弊事实、舞弊嫌疑以及收到舞弊指控的可能性较大，注册会计师应当询问治理层以便获取相关信息。</w:t>
      </w:r>
    </w:p>
    <w:p w14:paraId="39868989">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（三）询问内部审计人员</w:t>
      </w:r>
      <w:r>
        <w:rPr>
          <w:rFonts w:asciiTheme="minorEastAsia" w:hAnsiTheme="minorEastAsia" w:eastAsiaTheme="minorEastAsia" w:cstheme="minorEastAsia"/>
          <w:b/>
          <w:bCs/>
          <w:sz w:val="24"/>
        </w:rPr>
        <w:t xml:space="preserve"> </w:t>
      </w:r>
    </w:p>
    <w:p w14:paraId="5158DDE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了解其在本期是否实施了用以发现舞弊的程序，管理层对通过内部审计程序发现的舞弊是否采取了适当的应对措施，是否了解任何与函证账户、交易及披露信息有关的舞弊事实、舞弊嫌疑或舞弊指控等。</w:t>
      </w:r>
    </w:p>
    <w:p w14:paraId="039389A0">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（四）询问内部其他人员</w:t>
      </w:r>
    </w:p>
    <w:p w14:paraId="222C9F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了解是否存在或可能存在与函证账户、交易及披露信息有关的舞弊行为。内部其他人员通常包括：不直接参与财务报告过程的业务人员；拥有不同级别权限的人员；负责生成、处理或记录复杂、异常交易的人员及其监督人员；内部法律顾问；负责处理舞弊指控的人员。这些人员出于各自的相应职责，可能从不同角度、不同侧面了解实际存在的或者可能存在的舞弊行为。注册会计师应当运用职业判断，确定拟询问的被审计单位内部其他人员的范围及询问内容。</w:t>
      </w:r>
    </w:p>
    <w:p w14:paraId="2BDE57D6">
      <w:pPr>
        <w:snapToGrid w:val="0"/>
        <w:spacing w:line="360" w:lineRule="auto"/>
        <w:ind w:firstLine="482" w:firstLineChars="200"/>
        <w:outlineLvl w:val="2"/>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sz w:val="24"/>
        </w:rPr>
        <w:t>（五）询问其他合适人员</w:t>
      </w:r>
    </w:p>
    <w:p w14:paraId="06ECBA1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了解被审计单位是否面临经营目标、业绩指标等绩效考核压力，及是否面临重大合规性监管要求等，获取相关文件、纪要，分析被审计单位是否存在与函证账户、交易及披露信息有关的舞弊动机或压力。</w:t>
      </w:r>
    </w:p>
    <w:p w14:paraId="0DBDECCF">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（六）查阅内部文件</w:t>
      </w:r>
    </w:p>
    <w:p w14:paraId="60853EA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查阅被审计单位会议纪要、内部控制评价报告、内部审计报告等文件资料，关注是否存在与函证账户、交易及披露信息有关的舞弊事实、舞弊嫌疑或舞弊指控。</w:t>
      </w:r>
    </w:p>
    <w:p w14:paraId="03605BE3">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（七）综合分析</w:t>
      </w:r>
    </w:p>
    <w:p w14:paraId="67BDD73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结合询问、检查、查询等获取的信息，分析被审计单位是否正在经历诸如持续经营存在重大疑虑、财务状况不佳、经营不善等不利事项和情况，可能导致函证过程的实施环境存在较高的舞弊风险。</w:t>
      </w:r>
    </w:p>
    <w:p w14:paraId="0AEC858C">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（八）项目组讨论</w:t>
      </w:r>
    </w:p>
    <w:p w14:paraId="5E92B7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合客户规模、业务交易复杂性，及项目组成员资历、专业胜任能力，讨论可能存在的舞弊风险因素。必要时，注册会计师可以要求事务所委派技术支持人员参与项目组讨论或提供咨询指导。项目组讨论的内容通常包括但不限于：已了解的可能产生舞弊的动机或压力、提供舞弊机会、营造舞弊行为合理化环境的外部和内部因素、可能的舞弊途径或方法；已注意到的对被审计单位舞弊的指控；已注意到的管理层或员工在行为或生活方式上出现的异常或无法解释的变化；管理层凌驾于控制之上的可能性。</w:t>
      </w:r>
    </w:p>
    <w:p w14:paraId="4EA103E0">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24" w:name="_Toc7687"/>
      <w:bookmarkStart w:id="25" w:name="_Toc30559"/>
      <w:bookmarkStart w:id="26" w:name="_Toc16102"/>
      <w:r>
        <w:rPr>
          <w:rFonts w:hint="eastAsia" w:asciiTheme="minorEastAsia" w:hAnsiTheme="minorEastAsia" w:eastAsiaTheme="minorEastAsia" w:cstheme="minorEastAsia"/>
          <w:b/>
          <w:bCs/>
          <w:sz w:val="24"/>
        </w:rPr>
        <w:t>二、执行函证时需关注的舞弊风险重要考虑因素</w:t>
      </w:r>
      <w:bookmarkEnd w:id="24"/>
      <w:bookmarkEnd w:id="25"/>
      <w:bookmarkEnd w:id="26"/>
    </w:p>
    <w:p w14:paraId="4D161EA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结合近年函证程序执行中的失误案例，注册会计师应当考虑的影响函证舞弊风险的重要因素包括但不限于：</w:t>
      </w:r>
    </w:p>
    <w:p w14:paraId="220ACFB5">
      <w:pPr>
        <w:numPr>
          <w:ilvl w:val="0"/>
          <w:numId w:val="1"/>
        </w:num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函证执行环境存在较高舞弊风险</w:t>
      </w:r>
    </w:p>
    <w:p w14:paraId="2622839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当被审计单位面临持续经营能力的重大不确定性、财务状况恶化、运营效率低下等负面状况时，可能预示着较高的舞弊风险环境。此外，若管理层与函证对象间存在密切关联，可能增加串通舞弊的风险。</w:t>
      </w:r>
    </w:p>
    <w:p w14:paraId="76FC85E6">
      <w:pPr>
        <w:numPr>
          <w:ilvl w:val="0"/>
          <w:numId w:val="1"/>
        </w:num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被询证单位缺乏独立性的风险</w:t>
      </w:r>
    </w:p>
    <w:p w14:paraId="62B0E09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询证者缺乏独立性。例如：被审计单位及其管理层具有强大的背景和地位，能够对被询证者（包括银行和其他第三方）施加重大影响以使其向注册会计师提供虚假或误导信息（如被审计单位是被询证者唯一或重要的客户或供应商）；被询证者既是被审计单位资产的保管人又是资产的管理者。</w:t>
      </w:r>
    </w:p>
    <w:p w14:paraId="3F76EDEB">
      <w:pPr>
        <w:numPr>
          <w:ilvl w:val="0"/>
          <w:numId w:val="1"/>
        </w:num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舞弊风险迹象与函证过程中的潜在问题</w:t>
      </w:r>
    </w:p>
    <w:p w14:paraId="08E270BB">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在函证过程中，注册会计师需要始终保持职业怀疑，对舞弊风险迹象保持警觉，注册会计师应密切关注在函证过程中可能的错误或风险（具体内容及措施详见第四章各函证流程的“常见错误或风险”、附录</w:t>
      </w:r>
      <w:r>
        <w:rPr>
          <w:rFonts w:asciiTheme="minorEastAsia" w:hAnsiTheme="minorEastAsia" w:eastAsiaTheme="minorEastAsia" w:cstheme="minorEastAsia"/>
          <w:sz w:val="24"/>
        </w:rPr>
        <w:t>4:函证失败典型审计案例）。</w:t>
      </w:r>
    </w:p>
    <w:p w14:paraId="1E2416FE">
      <w:pPr>
        <w:spacing w:line="240" w:lineRule="auto"/>
        <w:ind w:firstLine="0" w:firstLineChars="0"/>
        <w:rPr>
          <w:rFonts w:asciiTheme="minorEastAsia" w:hAnsiTheme="minorEastAsia" w:cstheme="minorEastAsia"/>
          <w:sz w:val="24"/>
        </w:rPr>
      </w:pPr>
      <w:r>
        <w:rPr>
          <w:rFonts w:hint="eastAsia" w:asciiTheme="minorEastAsia" w:hAnsiTheme="minorEastAsia" w:cstheme="minorEastAsia"/>
          <w:sz w:val="24"/>
        </w:rPr>
        <w:br w:type="page"/>
      </w:r>
    </w:p>
    <w:p w14:paraId="5DC37B0A">
      <w:pPr>
        <w:snapToGrid w:val="0"/>
        <w:spacing w:line="360" w:lineRule="auto"/>
        <w:ind w:firstLine="0" w:firstLineChars="0"/>
        <w:jc w:val="center"/>
        <w:outlineLvl w:val="0"/>
        <w:rPr>
          <w:rFonts w:ascii="方正小标宋简体" w:hAnsi="方正小标宋简体" w:eastAsia="方正小标宋简体" w:cs="方正小标宋简体"/>
          <w:b w:val="0"/>
          <w:bCs w:val="0"/>
          <w:sz w:val="30"/>
          <w:szCs w:val="30"/>
        </w:rPr>
      </w:pPr>
      <w:bookmarkStart w:id="27" w:name="_Toc5046"/>
      <w:bookmarkStart w:id="28" w:name="_Toc22424"/>
      <w:bookmarkStart w:id="29" w:name="_Toc32361"/>
      <w:r>
        <w:rPr>
          <w:rFonts w:hint="eastAsia" w:ascii="方正小标宋简体" w:hAnsi="方正小标宋简体" w:eastAsia="方正小标宋简体" w:cs="方正小标宋简体"/>
          <w:b w:val="0"/>
          <w:bCs w:val="0"/>
          <w:sz w:val="30"/>
          <w:szCs w:val="30"/>
        </w:rPr>
        <w:t>第三章</w:t>
      </w:r>
      <w:r>
        <w:rPr>
          <w:rFonts w:hint="eastAsia" w:ascii="方正小标宋简体" w:hAnsi="方正小标宋简体" w:eastAsia="方正小标宋简体" w:cs="方正小标宋简体"/>
          <w:sz w:val="30"/>
          <w:szCs w:val="30"/>
        </w:rPr>
        <w:t xml:space="preserve">  </w:t>
      </w:r>
      <w:r>
        <w:rPr>
          <w:rFonts w:hint="eastAsia" w:ascii="方正小标宋简体" w:hAnsi="方正小标宋简体" w:eastAsia="方正小标宋简体" w:cs="方正小标宋简体"/>
          <w:b w:val="0"/>
          <w:bCs w:val="0"/>
          <w:sz w:val="30"/>
          <w:szCs w:val="30"/>
        </w:rPr>
        <w:t>函证操作流程</w:t>
      </w:r>
      <w:bookmarkEnd w:id="27"/>
      <w:bookmarkEnd w:id="28"/>
      <w:bookmarkEnd w:id="29"/>
    </w:p>
    <w:p w14:paraId="010798FA">
      <w:pPr>
        <w:snapToGrid w:val="0"/>
        <w:spacing w:line="360" w:lineRule="auto"/>
        <w:ind w:firstLine="480" w:firstLineChars="200"/>
        <w:rPr>
          <w:rFonts w:asciiTheme="minorEastAsia" w:hAnsiTheme="minorEastAsia" w:cstheme="minorEastAsia"/>
          <w:sz w:val="24"/>
        </w:rPr>
      </w:pPr>
    </w:p>
    <w:p w14:paraId="2798CA2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本流程主要以银行函证和企业往来款函证为例作出要求和建议。对其他审计事项进行函证的，可参照执行。</w:t>
      </w:r>
    </w:p>
    <w:p w14:paraId="16D8238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在工作底稿中保留设计和实施函证全过程的痕迹证据，包括询证函发出前的原件影印件和回函原件、发函和回函控制措施、发函及回函邮寄凭证、对函证结果的分析及差异处理、替代测试以及相关支持性文件、文字记录等，这些资料应能形成一个完整的证据链，可以证明注册会计师控制了函证程序实施的全过程。</w:t>
      </w:r>
      <w:r>
        <w:rPr>
          <w:rFonts w:hint="eastAsia" w:asciiTheme="minorEastAsia" w:hAnsiTheme="minorEastAsia" w:eastAsiaTheme="minorEastAsia" w:cstheme="minorEastAsia"/>
          <w:color w:val="auto"/>
          <w:sz w:val="24"/>
        </w:rPr>
        <w:t>函证流程全过程要特别注重注册会计师及项目组成员的独立操作。</w:t>
      </w:r>
    </w:p>
    <w:p w14:paraId="3AEA8F39">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30" w:name="_Toc20292"/>
      <w:bookmarkStart w:id="31" w:name="_Toc781"/>
      <w:bookmarkStart w:id="32" w:name="_Toc32272"/>
      <w:r>
        <w:rPr>
          <w:rFonts w:hint="eastAsia" w:asciiTheme="minorEastAsia" w:hAnsiTheme="minorEastAsia" w:eastAsiaTheme="minorEastAsia" w:cstheme="minorEastAsia"/>
          <w:b/>
          <w:bCs/>
          <w:sz w:val="24"/>
        </w:rPr>
        <w:t>一、函证操作流程</w:t>
      </w:r>
      <w:bookmarkEnd w:id="30"/>
      <w:bookmarkEnd w:id="31"/>
      <w:bookmarkEnd w:id="32"/>
    </w:p>
    <w:p w14:paraId="79EA0CAD">
      <w:pPr>
        <w:snapToGrid w:val="0"/>
        <w:spacing w:line="360" w:lineRule="auto"/>
        <w:ind w:firstLine="482" w:firstLineChars="200"/>
        <w:outlineLvl w:val="2"/>
        <w:rPr>
          <w:rFonts w:asciiTheme="minorEastAsia" w:hAnsiTheme="minorEastAsia" w:cstheme="minorEastAsia"/>
          <w:b/>
          <w:bCs/>
          <w:sz w:val="24"/>
        </w:rPr>
      </w:pPr>
      <w:r>
        <w:rPr>
          <w:rFonts w:hint="eastAsia" w:asciiTheme="minorEastAsia" w:hAnsiTheme="minorEastAsia" w:eastAsiaTheme="minorEastAsia" w:cstheme="minorEastAsia"/>
          <w:b/>
          <w:bCs/>
          <w:sz w:val="24"/>
        </w:rPr>
        <w:t>（一）银行函证</w:t>
      </w:r>
    </w:p>
    <w:p w14:paraId="6B856321">
      <w:pPr>
        <w:snapToGrid w:val="0"/>
        <w:spacing w:line="360" w:lineRule="auto"/>
        <w:ind w:firstLine="0" w:firstLineChars="0"/>
        <w:jc w:val="center"/>
        <w:outlineLvl w:val="2"/>
        <w:rPr>
          <w:rFonts w:ascii="Arial" w:hAnsi="Arial" w:cs="Arial"/>
          <w:b/>
          <w:bCs/>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1894840</wp:posOffset>
                </wp:positionH>
                <wp:positionV relativeFrom="paragraph">
                  <wp:posOffset>55880</wp:posOffset>
                </wp:positionV>
                <wp:extent cx="1226185" cy="219075"/>
                <wp:effectExtent l="6350" t="6350" r="24765" b="22225"/>
                <wp:wrapNone/>
                <wp:docPr id="5" name="矩形 5"/>
                <wp:cNvGraphicFramePr/>
                <a:graphic xmlns:a="http://schemas.openxmlformats.org/drawingml/2006/main">
                  <a:graphicData uri="http://schemas.microsoft.com/office/word/2010/wordprocessingShape">
                    <wps:wsp>
                      <wps:cNvSpPr/>
                      <wps:spPr>
                        <a:xfrm>
                          <a:off x="3537585" y="4420235"/>
                          <a:ext cx="1226185"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366DAEA7">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1.</w:t>
                            </w:r>
                            <w:r>
                              <w:rPr>
                                <w:rFonts w:hint="eastAsia" w:asciiTheme="minorEastAsia" w:hAnsiTheme="minorEastAsia" w:cstheme="minorEastAsia"/>
                                <w:sz w:val="15"/>
                                <w:szCs w:val="15"/>
                              </w:rPr>
                              <w:t>制定函证计划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2pt;margin-top:4.4pt;height:17.25pt;width:96.55pt;z-index:251659264;v-text-anchor:middle;mso-width-relative:page;mso-height-relative:page;" filled="f" stroked="t" coordsize="21600,21600" o:gfxdata="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kL8qD2AAAAAgBAAAPAAAAAAAAAAEAIAAAACIA&#10;AABkcnMvZG93bnJldi54bWxQSwECFAAUAAAACACHTuJA97KUuHsCAADiBAAADgAAAAAAAAABACAA&#10;AAAnAQAAZHJzL2Uyb0RvYy54bWxQSwUGAAAAAAYABgBZAQAAFAYAAAAA&#10;">
                <v:fill on="f" focussize="0,0"/>
                <v:stroke weight="1pt" color="#000000 [3213]" miterlimit="8" joinstyle="miter"/>
                <v:imagedata o:title=""/>
                <o:lock v:ext="edit" aspectratio="f"/>
                <v:textbox>
                  <w:txbxContent>
                    <w:p w14:paraId="366DAEA7">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1.</w:t>
                      </w:r>
                      <w:r>
                        <w:rPr>
                          <w:rFonts w:hint="eastAsia" w:asciiTheme="minorEastAsia" w:hAnsiTheme="minorEastAsia" w:cstheme="minorEastAsia"/>
                          <w:sz w:val="15"/>
                          <w:szCs w:val="15"/>
                        </w:rPr>
                        <w:t>制定函证计划</w:t>
                      </w:r>
                    </w:p>
                  </w:txbxContent>
                </v:textbox>
              </v:rect>
            </w:pict>
          </mc:Fallback>
        </mc:AlternateContent>
      </w:r>
    </w:p>
    <w:p w14:paraId="03B1C40F">
      <w:pPr>
        <w:snapToGrid w:val="0"/>
        <w:spacing w:line="360" w:lineRule="auto"/>
        <w:ind w:firstLine="0" w:firstLineChars="0"/>
        <w:jc w:val="center"/>
        <w:outlineLvl w:val="2"/>
        <w:rPr>
          <w:rFonts w:ascii="Arial" w:hAnsi="Arial" w:cs="Arial"/>
          <w:b/>
          <w:bCs/>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2450465</wp:posOffset>
                </wp:positionH>
                <wp:positionV relativeFrom="paragraph">
                  <wp:posOffset>118110</wp:posOffset>
                </wp:positionV>
                <wp:extent cx="3810" cy="104775"/>
                <wp:effectExtent l="35560" t="0" r="36830" b="9525"/>
                <wp:wrapNone/>
                <wp:docPr id="31" name="直接箭头连接符 31"/>
                <wp:cNvGraphicFramePr/>
                <a:graphic xmlns:a="http://schemas.openxmlformats.org/drawingml/2006/main">
                  <a:graphicData uri="http://schemas.microsoft.com/office/word/2010/wordprocessingShape">
                    <wps:wsp>
                      <wps:cNvCnPr/>
                      <wps:spPr>
                        <a:xfrm flipH="1">
                          <a:off x="3556635" y="460121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2.95pt;margin-top:9.3pt;height:8.25pt;width:0.3pt;z-index:251671552;mso-width-relative:page;mso-height-relative:page;" filled="f" stroked="t" coordsize="21600,21600" o:gfxdata="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gvEt1QAAAAkBAAAP&#10;AAAAAAAAAAEAIAAAACIAAABkcnMvZG93bnJldi54bWxQSwECFAAUAAAACACHTuJAGsGMlBsCAAD8&#10;AwAADgAAAAAAAAABACAAAAAkAQAAZHJzL2Uyb0RvYy54bWxQSwUGAAAAAAYABgBZAQAAsQUAAAAA&#10;">
                <v:fill on="f" focussize="0,0"/>
                <v:stroke weight="1pt" color="#000000 [3213]" miterlimit="8" joinstyle="miter" endarrow="block"/>
                <v:imagedata o:title=""/>
                <o:lock v:ext="edit" aspectratio="f"/>
              </v:shape>
            </w:pict>
          </mc:Fallback>
        </mc:AlternateContent>
      </w:r>
    </w:p>
    <w:p w14:paraId="3F6F2CD2">
      <w:pPr>
        <w:snapToGrid w:val="0"/>
        <w:spacing w:line="360" w:lineRule="auto"/>
        <w:ind w:firstLine="0" w:firstLineChars="0"/>
        <w:jc w:val="center"/>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1884680</wp:posOffset>
                </wp:positionH>
                <wp:positionV relativeFrom="paragraph">
                  <wp:posOffset>12700</wp:posOffset>
                </wp:positionV>
                <wp:extent cx="1226820" cy="437515"/>
                <wp:effectExtent l="6350" t="6350" r="24130" b="13335"/>
                <wp:wrapNone/>
                <wp:docPr id="13" name="矩形 13"/>
                <wp:cNvGraphicFramePr/>
                <a:graphic xmlns:a="http://schemas.openxmlformats.org/drawingml/2006/main">
                  <a:graphicData uri="http://schemas.microsoft.com/office/word/2010/wordprocessingShape">
                    <wps:wsp>
                      <wps:cNvSpPr/>
                      <wps:spPr>
                        <a:xfrm>
                          <a:off x="0" y="0"/>
                          <a:ext cx="1226820" cy="43751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F7E20F2">
                            <w:pPr>
                              <w:spacing w:line="180" w:lineRule="exact"/>
                              <w:jc w:val="center"/>
                              <w:rPr>
                                <w:rFonts w:asciiTheme="minorEastAsia" w:hAnsiTheme="minorEastAsia" w:cstheme="minorEastAsia"/>
                                <w:sz w:val="15"/>
                                <w:szCs w:val="18"/>
                              </w:rPr>
                            </w:pPr>
                            <w:r>
                              <w:rPr>
                                <w:rFonts w:asciiTheme="minorEastAsia" w:hAnsiTheme="minorEastAsia" w:cstheme="minorEastAsia"/>
                                <w:sz w:val="15"/>
                                <w:szCs w:val="18"/>
                              </w:rPr>
                              <w:t>2.确定实施函证程</w:t>
                            </w:r>
                            <w:r>
                              <w:rPr>
                                <w:rFonts w:hint="eastAsia" w:asciiTheme="minorEastAsia" w:hAnsiTheme="minorEastAsia" w:cstheme="minorEastAsia"/>
                                <w:sz w:val="15"/>
                                <w:szCs w:val="18"/>
                              </w:rPr>
                              <w:t>序</w:t>
                            </w:r>
                          </w:p>
                          <w:p w14:paraId="6206B66E">
                            <w:pPr>
                              <w:spacing w:line="180" w:lineRule="exact"/>
                              <w:jc w:val="center"/>
                              <w:rPr>
                                <w:rFonts w:asciiTheme="minorEastAsia" w:hAnsiTheme="minorEastAsia" w:cstheme="minorEastAsia"/>
                                <w:sz w:val="15"/>
                                <w:szCs w:val="18"/>
                              </w:rPr>
                            </w:pPr>
                            <w:r>
                              <w:rPr>
                                <w:rFonts w:hint="eastAsia" w:asciiTheme="minorEastAsia" w:hAnsiTheme="minorEastAsia" w:cstheme="minorEastAsia"/>
                                <w:sz w:val="15"/>
                                <w:szCs w:val="18"/>
                              </w:rPr>
                              <w:t>的交易或账户余额、</w:t>
                            </w:r>
                          </w:p>
                          <w:p w14:paraId="256A3450">
                            <w:pPr>
                              <w:spacing w:line="180" w:lineRule="exact"/>
                              <w:jc w:val="center"/>
                              <w:rPr>
                                <w:rFonts w:asciiTheme="minorEastAsia" w:hAnsiTheme="minorEastAsia" w:cstheme="minorEastAsia"/>
                                <w:sz w:val="15"/>
                                <w:szCs w:val="18"/>
                              </w:rPr>
                            </w:pPr>
                            <w:r>
                              <w:rPr>
                                <w:rFonts w:hint="eastAsia" w:asciiTheme="minorEastAsia" w:hAnsiTheme="minorEastAsia" w:cstheme="minorEastAsia"/>
                                <w:sz w:val="15"/>
                                <w:szCs w:val="18"/>
                              </w:rPr>
                              <w:t>特定事项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pt;margin-top:1pt;height:34.45pt;width:96.6pt;z-index:251661312;v-text-anchor:middle;mso-width-relative:page;mso-height-relative:page;" filled="f" stroked="t" coordsize="21600,21600" o:gfxdata="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kdnW21gAAAAgBAAAPAAAAAAAAAAEAIAAAACIAAABkcnMvZG93bnJldi54&#10;bWxQSwECFAAUAAAACACHTuJARfuBs24CAADYBAAADgAAAAAAAAABACAAAAAlAQAAZHJzL2Uyb0Rv&#10;Yy54bWxQSwUGAAAAAAYABgBZAQAABQYAAAAA&#10;">
                <v:fill on="f" focussize="0,0"/>
                <v:stroke weight="1pt" color="#000000 [3213]" miterlimit="8" joinstyle="miter"/>
                <v:imagedata o:title=""/>
                <o:lock v:ext="edit" aspectratio="f"/>
                <v:textbox>
                  <w:txbxContent>
                    <w:p w14:paraId="0F7E20F2">
                      <w:pPr>
                        <w:spacing w:line="180" w:lineRule="exact"/>
                        <w:jc w:val="center"/>
                        <w:rPr>
                          <w:rFonts w:asciiTheme="minorEastAsia" w:hAnsiTheme="minorEastAsia" w:cstheme="minorEastAsia"/>
                          <w:sz w:val="15"/>
                          <w:szCs w:val="18"/>
                        </w:rPr>
                      </w:pPr>
                      <w:r>
                        <w:rPr>
                          <w:rFonts w:asciiTheme="minorEastAsia" w:hAnsiTheme="minorEastAsia" w:cstheme="minorEastAsia"/>
                          <w:sz w:val="15"/>
                          <w:szCs w:val="18"/>
                        </w:rPr>
                        <w:t>2.确定实施函证程</w:t>
                      </w:r>
                      <w:r>
                        <w:rPr>
                          <w:rFonts w:hint="eastAsia" w:asciiTheme="minorEastAsia" w:hAnsiTheme="minorEastAsia" w:cstheme="minorEastAsia"/>
                          <w:sz w:val="15"/>
                          <w:szCs w:val="18"/>
                        </w:rPr>
                        <w:t>序</w:t>
                      </w:r>
                    </w:p>
                    <w:p w14:paraId="6206B66E">
                      <w:pPr>
                        <w:spacing w:line="180" w:lineRule="exact"/>
                        <w:jc w:val="center"/>
                        <w:rPr>
                          <w:rFonts w:asciiTheme="minorEastAsia" w:hAnsiTheme="minorEastAsia" w:cstheme="minorEastAsia"/>
                          <w:sz w:val="15"/>
                          <w:szCs w:val="18"/>
                        </w:rPr>
                      </w:pPr>
                      <w:r>
                        <w:rPr>
                          <w:rFonts w:hint="eastAsia" w:asciiTheme="minorEastAsia" w:hAnsiTheme="minorEastAsia" w:cstheme="minorEastAsia"/>
                          <w:sz w:val="15"/>
                          <w:szCs w:val="18"/>
                        </w:rPr>
                        <w:t>的交易或账户余额、</w:t>
                      </w:r>
                    </w:p>
                    <w:p w14:paraId="256A3450">
                      <w:pPr>
                        <w:spacing w:line="180" w:lineRule="exact"/>
                        <w:jc w:val="center"/>
                        <w:rPr>
                          <w:rFonts w:asciiTheme="minorEastAsia" w:hAnsiTheme="minorEastAsia" w:cstheme="minorEastAsia"/>
                          <w:sz w:val="15"/>
                          <w:szCs w:val="18"/>
                        </w:rPr>
                      </w:pPr>
                      <w:r>
                        <w:rPr>
                          <w:rFonts w:hint="eastAsia" w:asciiTheme="minorEastAsia" w:hAnsiTheme="minorEastAsia" w:cstheme="minorEastAsia"/>
                          <w:sz w:val="15"/>
                          <w:szCs w:val="18"/>
                        </w:rPr>
                        <w:t>特定事项</w:t>
                      </w:r>
                    </w:p>
                  </w:txbxContent>
                </v:textbox>
              </v:rect>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3130550</wp:posOffset>
                </wp:positionH>
                <wp:positionV relativeFrom="paragraph">
                  <wp:posOffset>2146300</wp:posOffset>
                </wp:positionV>
                <wp:extent cx="1875790" cy="2109470"/>
                <wp:effectExtent l="0" t="38100" r="257810" b="24130"/>
                <wp:wrapNone/>
                <wp:docPr id="56" name="肘形连接符 56"/>
                <wp:cNvGraphicFramePr/>
                <a:graphic xmlns:a="http://schemas.openxmlformats.org/drawingml/2006/main">
                  <a:graphicData uri="http://schemas.microsoft.com/office/word/2010/wordprocessingShape">
                    <wps:wsp>
                      <wps:cNvCnPr/>
                      <wps:spPr>
                        <a:xfrm flipH="1" flipV="1">
                          <a:off x="3983990" y="7134860"/>
                          <a:ext cx="1875790" cy="2109470"/>
                        </a:xfrm>
                        <a:prstGeom prst="bentConnector3">
                          <a:avLst>
                            <a:gd name="adj1" fmla="val -12695"/>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 y;margin-left:246.5pt;margin-top:169pt;height:166.1pt;width:147.7pt;z-index:251685888;mso-width-relative:page;mso-height-relative:page;" filled="f" stroked="t" coordsize="21600,21600" o:gfxdata="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vr/zbAAAACwEAAA8AAAAAAAAAAQAgAAAAIgAAAGRycy9k&#10;b3ducmV2LnhtbFBLAQIUABQAAAAIAIdO4kDjnevHOAIAAC4EAAAOAAAAAAAAAAEAIAAAACoBAABk&#10;cnMvZTJvRG9jLnhtbFBLBQYAAAAABgAGAFkBAADUBQAAAAA=&#10;" adj="-2742">
                <v:fill on="f" focussize="0,0"/>
                <v:stroke weight="1pt" color="#000000 [3213]" miterlimit="8" joinstyle="miter" endarrow="block"/>
                <v:imagedata o:title=""/>
                <o:lock v:ext="edit" aspectratio="f"/>
              </v:shape>
            </w:pict>
          </mc:Fallback>
        </mc:AlternateContent>
      </w:r>
    </w:p>
    <w:p w14:paraId="2743DA7F">
      <w:pPr>
        <w:spacing w:line="240" w:lineRule="auto"/>
        <w:ind w:firstLine="0" w:firstLineChars="0"/>
        <w:outlineLvl w:val="9"/>
        <w:rPr>
          <w:rFonts w:asciiTheme="minorEastAsia" w:hAnsiTheme="minorEastAsia" w:eastAsiaTheme="minorEastAsia" w:cstheme="minorEastAsia"/>
          <w:b/>
          <w:bCs/>
          <w:sz w:val="24"/>
        </w:rPr>
      </w:pPr>
      <w:r>
        <w:rPr>
          <w:sz w:val="24"/>
        </w:rPr>
        <mc:AlternateContent>
          <mc:Choice Requires="wps">
            <w:drawing>
              <wp:anchor distT="0" distB="0" distL="114300" distR="114300" simplePos="0" relativeHeight="251688960" behindDoc="0" locked="0" layoutInCell="1" allowOverlap="1">
                <wp:simplePos x="0" y="0"/>
                <wp:positionH relativeFrom="column">
                  <wp:posOffset>2484120</wp:posOffset>
                </wp:positionH>
                <wp:positionV relativeFrom="paragraph">
                  <wp:posOffset>177800</wp:posOffset>
                </wp:positionV>
                <wp:extent cx="8255" cy="97790"/>
                <wp:effectExtent l="31750" t="635" r="36195" b="15875"/>
                <wp:wrapNone/>
                <wp:docPr id="67" name="直接箭头连接符 67"/>
                <wp:cNvGraphicFramePr/>
                <a:graphic xmlns:a="http://schemas.openxmlformats.org/drawingml/2006/main">
                  <a:graphicData uri="http://schemas.microsoft.com/office/word/2010/wordprocessingShape">
                    <wps:wsp>
                      <wps:cNvCnPr/>
                      <wps:spPr>
                        <a:xfrm flipH="1">
                          <a:off x="0" y="0"/>
                          <a:ext cx="8255" cy="9779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5.6pt;margin-top:14pt;height:7.7pt;width:0.65pt;z-index:251688960;mso-width-relative:page;mso-height-relative:page;" filled="f" stroked="t" coordsize="21600,21600" o:gfxdata="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zDXfWAAAACQEAAA8AAAAAAAAAAQAg&#10;AAAAIgAAAGRycy9kb3ducmV2LnhtbFBLAQIUABQAAAAIAIdO4kBAqj+mEAIAAO8DAAAOAAAAAAAA&#10;AAEAIAAAACUBAABkcnMvZTJvRG9jLnhtbFBLBQYAAAAABgAGAFkBAACnBQAAAAA=&#10;">
                <v:fill on="f" focussize="0,0"/>
                <v:stroke weight="1pt" color="#000000 [3213]" miterlimit="8" joinstyle="miter" endarrow="block"/>
                <v:imagedata o:title=""/>
                <o:lock v:ext="edit" aspectratio="f"/>
              </v:shape>
            </w:pict>
          </mc:Fallback>
        </mc:AlternateContent>
      </w:r>
    </w:p>
    <w:p w14:paraId="1A2B7E10">
      <w:pPr>
        <w:snapToGrid w:val="0"/>
        <w:spacing w:line="360" w:lineRule="auto"/>
        <w:rPr>
          <w:rFonts w:asciiTheme="minorEastAsia" w:hAnsiTheme="minorEastAsia" w:eastAsiaTheme="minorEastAsia" w:cstheme="minorEastAsia"/>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1882140</wp:posOffset>
                </wp:positionH>
                <wp:positionV relativeFrom="paragraph">
                  <wp:posOffset>101600</wp:posOffset>
                </wp:positionV>
                <wp:extent cx="1226185" cy="228600"/>
                <wp:effectExtent l="6350" t="6350" r="24765" b="12700"/>
                <wp:wrapNone/>
                <wp:docPr id="17" name="矩形 17"/>
                <wp:cNvGraphicFramePr/>
                <a:graphic xmlns:a="http://schemas.openxmlformats.org/drawingml/2006/main">
                  <a:graphicData uri="http://schemas.microsoft.com/office/word/2010/wordprocessingShape">
                    <wps:wsp>
                      <wps:cNvSpPr/>
                      <wps:spPr>
                        <a:xfrm>
                          <a:off x="0" y="0"/>
                          <a:ext cx="1226185" cy="228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4A8A8A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3.确定函证</w:t>
                            </w:r>
                            <w:r>
                              <w:rPr>
                                <w:rFonts w:hint="eastAsia" w:asciiTheme="minorEastAsia" w:hAnsiTheme="minorEastAsia" w:cstheme="minorEastAsia"/>
                                <w:sz w:val="15"/>
                                <w:szCs w:val="15"/>
                              </w:rPr>
                              <w:t>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2pt;margin-top:8pt;height:18pt;width:96.55pt;z-index:251662336;v-text-anchor:middle;mso-width-relative:page;mso-height-relative:page;" filled="f" stroked="t" coordsize="21600,21600" o:gfxdata="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VDqqX1wAAAAkBAAAPAAAAAAAAAAEAIAAAACIAAABkcnMvZG93bnJldi54&#10;bWxQSwECFAAUAAAACACHTuJA9J2W/W0CAADYBAAADgAAAAAAAAABACAAAAAmAQAAZHJzL2Uyb0Rv&#10;Yy54bWxQSwUGAAAAAAYABgBZAQAABQYAAAAA&#10;">
                <v:fill on="f" focussize="0,0"/>
                <v:stroke weight="1pt" color="#000000 [3213]" miterlimit="8" joinstyle="miter"/>
                <v:imagedata o:title=""/>
                <o:lock v:ext="edit" aspectratio="f"/>
                <v:textbox>
                  <w:txbxContent>
                    <w:p w14:paraId="04A8A8A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3.确定函证</w:t>
                      </w:r>
                      <w:r>
                        <w:rPr>
                          <w:rFonts w:hint="eastAsia" w:asciiTheme="minorEastAsia" w:hAnsiTheme="minorEastAsia" w:cstheme="minorEastAsia"/>
                          <w:sz w:val="15"/>
                          <w:szCs w:val="15"/>
                        </w:rPr>
                        <w:t>项目</w:t>
                      </w:r>
                    </w:p>
                  </w:txbxContent>
                </v:textbox>
              </v:rect>
            </w:pict>
          </mc:Fallback>
        </mc:AlternateContent>
      </w:r>
    </w:p>
    <w:p w14:paraId="661E3961">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2501265</wp:posOffset>
                </wp:positionH>
                <wp:positionV relativeFrom="paragraph">
                  <wp:posOffset>73025</wp:posOffset>
                </wp:positionV>
                <wp:extent cx="3810" cy="104775"/>
                <wp:effectExtent l="35560" t="0" r="36830" b="9525"/>
                <wp:wrapNone/>
                <wp:docPr id="48" name="直接箭头连接符 48"/>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6.95pt;margin-top:5.75pt;height:8.25pt;width:0.3pt;z-index:251672576;mso-width-relative:page;mso-height-relative:page;" filled="f" stroked="t" coordsize="21600,21600" o:gfxdata="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Ax2L1QAAAAkBAAAPAAAAAAAAAAEAIAAA&#10;ACIAAABkcnMvZG93bnJldi54bWxQSwECFAAUAAAACACHTuJAKZ2uug8CAADwAwAADgAAAAAAAAAB&#10;ACAAAAAkAQAAZHJzL2Uyb0RvYy54bWxQSwUGAAAAAAYABgBZAQAApQU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1902460</wp:posOffset>
                </wp:positionH>
                <wp:positionV relativeFrom="paragraph">
                  <wp:posOffset>174625</wp:posOffset>
                </wp:positionV>
                <wp:extent cx="1226820" cy="238125"/>
                <wp:effectExtent l="6350" t="6350" r="24130" b="22225"/>
                <wp:wrapNone/>
                <wp:docPr id="19" name="矩形 19"/>
                <wp:cNvGraphicFramePr/>
                <a:graphic xmlns:a="http://schemas.openxmlformats.org/drawingml/2006/main">
                  <a:graphicData uri="http://schemas.microsoft.com/office/word/2010/wordprocessingShape">
                    <wps:wsp>
                      <wps:cNvSpPr/>
                      <wps:spPr>
                        <a:xfrm>
                          <a:off x="0" y="0"/>
                          <a:ext cx="1226820" cy="23812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3D6577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4.</w:t>
                            </w:r>
                            <w:r>
                              <w:rPr>
                                <w:rFonts w:hint="eastAsia" w:asciiTheme="minorEastAsia" w:hAnsiTheme="minorEastAsia" w:cstheme="minorEastAsia"/>
                                <w:sz w:val="15"/>
                                <w:szCs w:val="15"/>
                              </w:rPr>
                              <w:t>核对被函证单位信息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8pt;margin-top:13.75pt;height:18.75pt;width:96.6pt;z-index:251663360;v-text-anchor:middle;mso-width-relative:page;mso-height-relative:page;" filled="f" stroked="t" coordsize="21600,21600" o:gfxdata="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1UdY1wAAAAkBAAAPAAAAAAAAAAEAIAAAACIAAABkcnMvZG93bnJldi54&#10;bWxQSwECFAAUAAAACACHTuJAlTPzDW0CAADYBAAADgAAAAAAAAABACAAAAAmAQAAZHJzL2Uyb0Rv&#10;Yy54bWxQSwUGAAAAAAYABgBZAQAABQYAAAAA&#10;">
                <v:fill on="f" focussize="0,0"/>
                <v:stroke weight="1pt" color="#000000 [3213]" miterlimit="8" joinstyle="miter"/>
                <v:imagedata o:title=""/>
                <o:lock v:ext="edit" aspectratio="f"/>
                <v:textbox>
                  <w:txbxContent>
                    <w:p w14:paraId="03D6577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4.</w:t>
                      </w:r>
                      <w:r>
                        <w:rPr>
                          <w:rFonts w:hint="eastAsia" w:asciiTheme="minorEastAsia" w:hAnsiTheme="minorEastAsia" w:cstheme="minorEastAsia"/>
                          <w:sz w:val="15"/>
                          <w:szCs w:val="15"/>
                        </w:rPr>
                        <w:t>核对被函证单位信息</w:t>
                      </w:r>
                    </w:p>
                  </w:txbxContent>
                </v:textbox>
              </v:rect>
            </w:pict>
          </mc:Fallback>
        </mc:AlternateContent>
      </w:r>
    </w:p>
    <w:p w14:paraId="2CBCD35C">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141605</wp:posOffset>
                </wp:positionV>
                <wp:extent cx="3810" cy="104775"/>
                <wp:effectExtent l="35560" t="0" r="36830" b="9525"/>
                <wp:wrapNone/>
                <wp:docPr id="49" name="直接箭头连接符 49"/>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8pt;margin-top:11.15pt;height:8.25pt;width:0.3pt;z-index:251673600;mso-width-relative:page;mso-height-relative:page;" filled="f" stroked="t" coordsize="21600,21600" o:gfxdata="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fyVk9UAAAAJAQAADwAAAAAAAAABACAA&#10;AAAiAAAAZHJzL2Rvd25yZXYueG1sUEsBAhQAFAAAAAgAh07iQESKipkQAgAA8AMAAA4AAAAAAAAA&#10;AQAgAAAAJAEAAGRycy9lMm9Eb2MueG1sUEsFBgAAAAAGAAYAWQEAAKYFA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1901190</wp:posOffset>
                </wp:positionH>
                <wp:positionV relativeFrom="paragraph">
                  <wp:posOffset>240665</wp:posOffset>
                </wp:positionV>
                <wp:extent cx="1237615" cy="229235"/>
                <wp:effectExtent l="6350" t="6350" r="13335" b="12065"/>
                <wp:wrapNone/>
                <wp:docPr id="20" name="矩形 20"/>
                <wp:cNvGraphicFramePr/>
                <a:graphic xmlns:a="http://schemas.openxmlformats.org/drawingml/2006/main">
                  <a:graphicData uri="http://schemas.microsoft.com/office/word/2010/wordprocessingShape">
                    <wps:wsp>
                      <wps:cNvSpPr/>
                      <wps:spPr>
                        <a:xfrm>
                          <a:off x="0" y="0"/>
                          <a:ext cx="1237615" cy="22923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2C8BE191">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5.</w:t>
                            </w:r>
                            <w:r>
                              <w:rPr>
                                <w:rFonts w:hint="eastAsia" w:asciiTheme="minorEastAsia" w:hAnsiTheme="minorEastAsia" w:cstheme="minorEastAsia"/>
                                <w:sz w:val="15"/>
                                <w:szCs w:val="15"/>
                              </w:rPr>
                              <w:t>编制询证函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7pt;margin-top:18.95pt;height:18.05pt;width:97.45pt;z-index:251664384;v-text-anchor:middle;mso-width-relative:page;mso-height-relative:page;" filled="f" stroked="t" coordsize="21600,21600" o:gfxdata="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hH2QAAAAkBAAAPAAAAAAAAAAEAIAAAACIAAABkcnMvZG93bnJl&#10;di54bWxQSwECFAAUAAAACACHTuJAVgMZlG4CAADYBAAADgAAAAAAAAABACAAAAAoAQAAZHJzL2Uy&#10;b0RvYy54bWxQSwUGAAAAAAYABgBZAQAACAYAAAAA&#10;">
                <v:fill on="f" focussize="0,0"/>
                <v:stroke weight="1pt" color="#000000 [3213]" miterlimit="8" joinstyle="miter"/>
                <v:imagedata o:title=""/>
                <o:lock v:ext="edit" aspectratio="f"/>
                <v:textbox>
                  <w:txbxContent>
                    <w:p w14:paraId="2C8BE191">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5.</w:t>
                      </w:r>
                      <w:r>
                        <w:rPr>
                          <w:rFonts w:hint="eastAsia" w:asciiTheme="minorEastAsia" w:hAnsiTheme="minorEastAsia" w:cstheme="minorEastAsia"/>
                          <w:sz w:val="15"/>
                          <w:szCs w:val="15"/>
                        </w:rPr>
                        <w:t>编制询证函</w:t>
                      </w:r>
                    </w:p>
                  </w:txbxContent>
                </v:textbox>
              </v:rect>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-86995</wp:posOffset>
                </wp:positionH>
                <wp:positionV relativeFrom="paragraph">
                  <wp:posOffset>243205</wp:posOffset>
                </wp:positionV>
                <wp:extent cx="1532890" cy="695960"/>
                <wp:effectExtent l="6350" t="6350" r="22860" b="21590"/>
                <wp:wrapNone/>
                <wp:docPr id="199" name="流程图: 终止 199"/>
                <wp:cNvGraphicFramePr/>
                <a:graphic xmlns:a="http://schemas.openxmlformats.org/drawingml/2006/main">
                  <a:graphicData uri="http://schemas.microsoft.com/office/word/2010/wordprocessingShape">
                    <wps:wsp>
                      <wps:cNvSpPr/>
                      <wps:spPr>
                        <a:xfrm>
                          <a:off x="0" y="0"/>
                          <a:ext cx="1532890" cy="695960"/>
                        </a:xfrm>
                        <a:prstGeom prst="flowChartTerminator">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F074528">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发函控制：</w:t>
                            </w:r>
                            <w:r>
                              <w:rPr>
                                <w:rFonts w:asciiTheme="minorEastAsia" w:hAnsiTheme="minorEastAsia" w:cstheme="minorEastAsia"/>
                                <w:sz w:val="15"/>
                                <w:szCs w:val="15"/>
                              </w:rPr>
                              <w:t>7.1邮寄方式</w:t>
                            </w:r>
                          </w:p>
                          <w:p w14:paraId="18F6F29F">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7.2跟函方式</w:t>
                            </w:r>
                          </w:p>
                          <w:p w14:paraId="06FE368F">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7.3电子询证函平台</w:t>
                            </w:r>
                          </w:p>
                          <w:p w14:paraId="1B6313DE">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7.4其他电子形式</w:t>
                            </w:r>
                          </w:p>
                          <w:p w14:paraId="7002423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6.85pt;margin-top:19.15pt;height:54.8pt;width:120.7pt;z-index:251712512;v-text-anchor:middle;mso-width-relative:page;mso-height-relative:page;" filled="f" stroked="t" coordsize="21600,21600" o:gfxdata="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J5E1wAAAAoB&#10;AAAPAAAAAAAAAAEAIAAAACIAAABkcnMvZG93bnJldi54bWxQSwECFAAUAAAACACHTuJAZnxmHY4C&#10;AAD0BAAADgAAAAAAAAABACAAAAAmAQAAZHJzL2Uyb0RvYy54bWxQSwUGAAAAAAYABgBZAQAAJgYA&#10;AAAA&#10;">
                <v:fill on="f" focussize="0,0"/>
                <v:stroke weight="1pt" color="#000000 [3213]" miterlimit="8" joinstyle="miter"/>
                <v:imagedata o:title=""/>
                <o:lock v:ext="edit" aspectratio="f"/>
                <v:textbox>
                  <w:txbxContent>
                    <w:p w14:paraId="0F074528">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发函控制：</w:t>
                      </w:r>
                      <w:r>
                        <w:rPr>
                          <w:rFonts w:asciiTheme="minorEastAsia" w:hAnsiTheme="minorEastAsia" w:cstheme="minorEastAsia"/>
                          <w:sz w:val="15"/>
                          <w:szCs w:val="15"/>
                        </w:rPr>
                        <w:t>7.1邮寄方式</w:t>
                      </w:r>
                    </w:p>
                    <w:p w14:paraId="18F6F29F">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7.2跟函方式</w:t>
                      </w:r>
                    </w:p>
                    <w:p w14:paraId="06FE368F">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7.3电子询证函平台</w:t>
                      </w:r>
                    </w:p>
                    <w:p w14:paraId="1B6313DE">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7.4其他电子形式</w:t>
                      </w:r>
                    </w:p>
                    <w:p w14:paraId="70024238">
                      <w:pPr>
                        <w:jc w:val="center"/>
                      </w:pPr>
                    </w:p>
                  </w:txbxContent>
                </v:textbox>
              </v:shape>
            </w:pict>
          </mc:Fallback>
        </mc:AlternateContent>
      </w:r>
    </w:p>
    <w:p w14:paraId="7C86EB71">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4624" behindDoc="0" locked="0" layoutInCell="1" allowOverlap="1">
                <wp:simplePos x="0" y="0"/>
                <wp:positionH relativeFrom="column">
                  <wp:posOffset>2524125</wp:posOffset>
                </wp:positionH>
                <wp:positionV relativeFrom="paragraph">
                  <wp:posOffset>188595</wp:posOffset>
                </wp:positionV>
                <wp:extent cx="3810" cy="104775"/>
                <wp:effectExtent l="35560" t="0" r="36830" b="9525"/>
                <wp:wrapNone/>
                <wp:docPr id="50" name="直接箭头连接符 50"/>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8.75pt;margin-top:14.85pt;height:8.25pt;width:0.3pt;z-index:251674624;mso-width-relative:page;mso-height-relative:page;" filled="f" stroked="t" coordsize="21600,21600" o:gfxdata="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HQ29YAAAAJAQAADwAAAAAAAAABACAA&#10;AAAiAAAAZHJzL2Rvd25yZXYueG1sUEsBAhQAFAAAAAgAh07iQPIZ30sPAgAA8AMAAA4AAAAAAAAA&#10;AQAgAAAAJQEAAGRycy9lMm9Eb2MueG1sUEsFBgAAAAAGAAYAWQEAAKYFAAAAAA==&#10;">
                <v:fill on="f" focussize="0,0"/>
                <v:stroke weight="1pt" color="#000000 [3213]" miterlimit="8" joinstyle="miter" endarrow="block"/>
                <v:imagedata o:title=""/>
                <o:lock v:ext="edit" aspectratio="f"/>
              </v:shape>
            </w:pict>
          </mc:Fallback>
        </mc:AlternateContent>
      </w:r>
    </w:p>
    <w:p w14:paraId="54BAF435">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2534920</wp:posOffset>
                </wp:positionH>
                <wp:positionV relativeFrom="paragraph">
                  <wp:posOffset>245110</wp:posOffset>
                </wp:positionV>
                <wp:extent cx="3810" cy="104775"/>
                <wp:effectExtent l="35560" t="0" r="36830" b="9525"/>
                <wp:wrapNone/>
                <wp:docPr id="51" name="直接箭头连接符 51"/>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9.6pt;margin-top:19.3pt;height:8.25pt;width:0.3pt;z-index:251675648;mso-width-relative:page;mso-height-relative:page;" filled="f" stroked="t" coordsize="21600,21600" o:gfxdata="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fLuyNUAAAAJAQAADwAAAAAAAAABACAA&#10;AAAiAAAAZHJzL2Rvd25yZXYueG1sUEsBAhQAFAAAAAgAh07iQJ8O+2gQAgAA8AMAAA4AAAAAAAAA&#10;AQAgAAAAJAEAAGRycy9lMm9Eb2MueG1sUEsFBgAAAAAGAAYAWQEAAKYFA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1891665</wp:posOffset>
                </wp:positionH>
                <wp:positionV relativeFrom="paragraph">
                  <wp:posOffset>1905</wp:posOffset>
                </wp:positionV>
                <wp:extent cx="1245235" cy="228600"/>
                <wp:effectExtent l="6350" t="6350" r="24765" b="12700"/>
                <wp:wrapNone/>
                <wp:docPr id="21" name="矩形 21"/>
                <wp:cNvGraphicFramePr/>
                <a:graphic xmlns:a="http://schemas.openxmlformats.org/drawingml/2006/main">
                  <a:graphicData uri="http://schemas.microsoft.com/office/word/2010/wordprocessingShape">
                    <wps:wsp>
                      <wps:cNvSpPr/>
                      <wps:spPr>
                        <a:xfrm>
                          <a:off x="0" y="0"/>
                          <a:ext cx="1245235" cy="228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2D3BD6F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6.</w:t>
                            </w:r>
                            <w:r>
                              <w:rPr>
                                <w:rFonts w:hint="eastAsia" w:asciiTheme="minorEastAsia" w:hAnsiTheme="minorEastAsia" w:cstheme="minorEastAsia"/>
                                <w:sz w:val="15"/>
                                <w:szCs w:val="15"/>
                              </w:rPr>
                              <w:t>打印询证函并盖章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95pt;margin-top:0.15pt;height:18pt;width:98.05pt;z-index:251665408;v-text-anchor:middle;mso-width-relative:page;mso-height-relative:page;" filled="f" stroked="t" coordsize="21600,21600" o:gfxdata="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uiY2TWAAAABwEAAA8AAAAAAAAAAQAgAAAAIgAAAGRycy9kb3ducmV2Lnht&#10;bFBLAQIUABQAAAAIAIdO4kDtq6babQIAANgEAAAOAAAAAAAAAAEAIAAAACUBAABkcnMvZTJvRG9j&#10;LnhtbFBLBQYAAAAABgAGAFkBAAAEBgAAAAA=&#10;">
                <v:fill on="f" focussize="0,0"/>
                <v:stroke weight="1pt" color="#000000 [3213]" miterlimit="8" joinstyle="miter"/>
                <v:imagedata o:title=""/>
                <o:lock v:ext="edit" aspectratio="f"/>
                <v:textbox>
                  <w:txbxContent>
                    <w:p w14:paraId="2D3BD6F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6.</w:t>
                      </w:r>
                      <w:r>
                        <w:rPr>
                          <w:rFonts w:hint="eastAsia" w:asciiTheme="minorEastAsia" w:hAnsiTheme="minorEastAsia" w:cstheme="minorEastAsia"/>
                          <w:sz w:val="15"/>
                          <w:szCs w:val="15"/>
                        </w:rPr>
                        <w:t>打印询证函并盖章</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1411605</wp:posOffset>
                </wp:positionH>
                <wp:positionV relativeFrom="paragraph">
                  <wp:posOffset>193675</wp:posOffset>
                </wp:positionV>
                <wp:extent cx="462915" cy="0"/>
                <wp:effectExtent l="0" t="38100" r="13335" b="38100"/>
                <wp:wrapNone/>
                <wp:docPr id="24" name="直接箭头连接符 24"/>
                <wp:cNvGraphicFramePr/>
                <a:graphic xmlns:a="http://schemas.openxmlformats.org/drawingml/2006/main">
                  <a:graphicData uri="http://schemas.microsoft.com/office/word/2010/wordprocessingShape">
                    <wps:wsp>
                      <wps:cNvCnPr/>
                      <wps:spPr>
                        <a:xfrm flipH="1">
                          <a:off x="2903855" y="7611110"/>
                          <a:ext cx="462915" cy="0"/>
                        </a:xfrm>
                        <a:prstGeom prst="straightConnector1">
                          <a:avLst/>
                        </a:prstGeom>
                        <a:ln>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1.15pt;margin-top:15.25pt;height:0pt;width:36.45pt;z-index:251667456;mso-width-relative:page;mso-height-relative:page;" filled="f" stroked="t" coordsize="21600,21600" o:gfxdata="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l+NC1gAAAAkB&#10;AAAPAAAAAAAAAAEAIAAAACIAAABkcnMvZG93bnJldi54bWxQSwECFAAUAAAACACHTuJAyTzfjx0C&#10;AAD7AwAADgAAAAAAAAABACAAAAAlAQAAZHJzL2Uyb0RvYy54bWxQSwUGAAAAAAYABgBZAQAAtAUA&#10;AAAA&#10;">
                <v:fill on="f" focussize="0,0"/>
                <v:stroke weight="1pt" color="#000000 [3213]" miterlimit="8" joinstyle="miter" dashstyle="3 1" endarrow="block"/>
                <v:imagedata o:title=""/>
                <o:lock v:ext="edit" aspectratio="f"/>
              </v:shape>
            </w:pict>
          </mc:Fallback>
        </mc:AlternateContent>
      </w:r>
    </w:p>
    <w:p w14:paraId="35FA6DF8">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1884045</wp:posOffset>
                </wp:positionH>
                <wp:positionV relativeFrom="paragraph">
                  <wp:posOffset>59690</wp:posOffset>
                </wp:positionV>
                <wp:extent cx="1246505" cy="219075"/>
                <wp:effectExtent l="6350" t="6350" r="23495" b="22225"/>
                <wp:wrapNone/>
                <wp:docPr id="22" name="矩形 22"/>
                <wp:cNvGraphicFramePr/>
                <a:graphic xmlns:a="http://schemas.openxmlformats.org/drawingml/2006/main">
                  <a:graphicData uri="http://schemas.microsoft.com/office/word/2010/wordprocessingShape">
                    <wps:wsp>
                      <wps:cNvSpPr/>
                      <wps:spPr>
                        <a:xfrm>
                          <a:off x="0" y="0"/>
                          <a:ext cx="1246505"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CB4BABB">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7.</w:t>
                            </w:r>
                            <w:r>
                              <w:rPr>
                                <w:rFonts w:hint="eastAsia" w:asciiTheme="minorEastAsia" w:hAnsiTheme="minorEastAsia" w:cstheme="minorEastAsia"/>
                                <w:sz w:val="15"/>
                                <w:szCs w:val="15"/>
                              </w:rPr>
                              <w:t>发出询证函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35pt;margin-top:4.7pt;height:17.25pt;width:98.15pt;z-index:251666432;v-text-anchor:middle;mso-width-relative:page;mso-height-relative:page;" filled="f" stroked="t" coordsize="21600,21600" o:gfxdata="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YD42F2AAAAAgBAAAPAAAAAAAAAAEAIAAAACIAAABkcnMvZG93bnJl&#10;di54bWxQSwECFAAUAAAACACHTuJAEaffR28CAADYBAAADgAAAAAAAAABACAAAAAnAQAAZHJzL2Uy&#10;b0RvYy54bWxQSwUGAAAAAAYABgBZAQAACAYAAAAA&#10;">
                <v:fill on="f" focussize="0,0"/>
                <v:stroke weight="1pt" color="#000000 [3213]" miterlimit="8" joinstyle="miter"/>
                <v:imagedata o:title=""/>
                <o:lock v:ext="edit" aspectratio="f"/>
                <v:textbox>
                  <w:txbxContent>
                    <w:p w14:paraId="5CB4BABB">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7.</w:t>
                      </w:r>
                      <w:r>
                        <w:rPr>
                          <w:rFonts w:hint="eastAsia" w:asciiTheme="minorEastAsia" w:hAnsiTheme="minorEastAsia" w:cstheme="minorEastAsia"/>
                          <w:sz w:val="15"/>
                          <w:szCs w:val="15"/>
                        </w:rPr>
                        <w:t>发出询证函</w:t>
                      </w:r>
                    </w:p>
                  </w:txbxContent>
                </v:textbox>
              </v:rect>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-96520</wp:posOffset>
                </wp:positionH>
                <wp:positionV relativeFrom="paragraph">
                  <wp:posOffset>106045</wp:posOffset>
                </wp:positionV>
                <wp:extent cx="1532890" cy="724535"/>
                <wp:effectExtent l="6350" t="6350" r="22860" b="12065"/>
                <wp:wrapNone/>
                <wp:docPr id="201" name="流程图: 终止 201"/>
                <wp:cNvGraphicFramePr/>
                <a:graphic xmlns:a="http://schemas.openxmlformats.org/drawingml/2006/main">
                  <a:graphicData uri="http://schemas.microsoft.com/office/word/2010/wordprocessingShape">
                    <wps:wsp>
                      <wps:cNvSpPr/>
                      <wps:spPr>
                        <a:xfrm>
                          <a:off x="0" y="0"/>
                          <a:ext cx="1532890" cy="724535"/>
                        </a:xfrm>
                        <a:prstGeom prst="flowChartTerminator">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70F177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回函控制：</w:t>
                            </w:r>
                            <w:r>
                              <w:rPr>
                                <w:rFonts w:asciiTheme="minorEastAsia" w:hAnsiTheme="minorEastAsia" w:cstheme="minorEastAsia"/>
                                <w:sz w:val="15"/>
                                <w:szCs w:val="15"/>
                              </w:rPr>
                              <w:t>8.1邮寄方式</w:t>
                            </w:r>
                          </w:p>
                          <w:p w14:paraId="436F03BE">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8.2跟函方式</w:t>
                            </w:r>
                          </w:p>
                          <w:p w14:paraId="43683A25">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8.3电子询证函平台</w:t>
                            </w:r>
                          </w:p>
                          <w:p w14:paraId="46F9228A">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8.4其他电子形式</w:t>
                            </w:r>
                          </w:p>
                          <w:p w14:paraId="6431226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7.6pt;margin-top:8.35pt;height:57.05pt;width:120.7pt;z-index:251713536;v-text-anchor:middle;mso-width-relative:page;mso-height-relative:page;" filled="f" stroked="t" coordsize="21600,21600" o:gfxdata="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CX0zvWAAAACgEAAA8A&#10;AAAAAAAAAQAgAAAAIgAAAGRycy9kb3ducmV2LnhtbFBLAQIUABQAAAAIAIdO4kB5AorxiwIAAPQE&#10;AAAOAAAAAAAAAAEAIAAAACUBAABkcnMvZTJvRG9jLnhtbFBLBQYAAAAABgAGAFkBAAAiBgAAAAA=&#10;">
                <v:fill on="f" focussize="0,0"/>
                <v:stroke weight="1pt" color="#000000 [3213]" miterlimit="8" joinstyle="miter"/>
                <v:imagedata o:title=""/>
                <o:lock v:ext="edit" aspectratio="f"/>
                <v:textbox>
                  <w:txbxContent>
                    <w:p w14:paraId="670F177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回函控制：</w:t>
                      </w:r>
                      <w:r>
                        <w:rPr>
                          <w:rFonts w:asciiTheme="minorEastAsia" w:hAnsiTheme="minorEastAsia" w:cstheme="minorEastAsia"/>
                          <w:sz w:val="15"/>
                          <w:szCs w:val="15"/>
                        </w:rPr>
                        <w:t>8.1邮寄方式</w:t>
                      </w:r>
                    </w:p>
                    <w:p w14:paraId="436F03BE">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8.2跟函方式</w:t>
                      </w:r>
                    </w:p>
                    <w:p w14:paraId="43683A25">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8.3电子询证函平台</w:t>
                      </w:r>
                    </w:p>
                    <w:p w14:paraId="46F9228A">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8.4其他电子形式</w:t>
                      </w:r>
                    </w:p>
                    <w:p w14:paraId="64312262">
                      <w:pPr>
                        <w:jc w:val="center"/>
                      </w:pPr>
                    </w:p>
                  </w:txbxContent>
                </v:textbox>
              </v:shape>
            </w:pict>
          </mc:Fallback>
        </mc:AlternateContent>
      </w:r>
    </w:p>
    <w:p w14:paraId="64225D6D">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2486660</wp:posOffset>
                </wp:positionH>
                <wp:positionV relativeFrom="paragraph">
                  <wp:posOffset>22225</wp:posOffset>
                </wp:positionV>
                <wp:extent cx="3810" cy="104775"/>
                <wp:effectExtent l="35560" t="0" r="36830" b="9525"/>
                <wp:wrapNone/>
                <wp:docPr id="52" name="直接箭头连接符 52"/>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5.8pt;margin-top:1.75pt;height:8.25pt;width:0.3pt;z-index:251676672;mso-width-relative:page;mso-height-relative:page;" filled="f" stroked="t" coordsize="21600,21600" o:gfxdata="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VuVc1AAAAAgBAAAPAAAAAAAAAAEAIAAA&#10;ACIAAABkcnMvZG93bnJldi54bWxQSwECFAAUAAAACACHTuJAKDeXDRACAADwAwAADgAAAAAAAAAB&#10;ACAAAAAjAQAAZHJzL2Uyb0RvYy54bWxQSwUGAAAAAAYABgBZAQAApQU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1894205</wp:posOffset>
                </wp:positionH>
                <wp:positionV relativeFrom="paragraph">
                  <wp:posOffset>131445</wp:posOffset>
                </wp:positionV>
                <wp:extent cx="1235710" cy="323850"/>
                <wp:effectExtent l="6350" t="6350" r="15240" b="12700"/>
                <wp:wrapNone/>
                <wp:docPr id="26" name="矩形 26"/>
                <wp:cNvGraphicFramePr/>
                <a:graphic xmlns:a="http://schemas.openxmlformats.org/drawingml/2006/main">
                  <a:graphicData uri="http://schemas.microsoft.com/office/word/2010/wordprocessingShape">
                    <wps:wsp>
                      <wps:cNvSpPr/>
                      <wps:spPr>
                        <a:xfrm>
                          <a:off x="0" y="0"/>
                          <a:ext cx="1235710" cy="3238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09F23B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8.</w:t>
                            </w:r>
                            <w:r>
                              <w:rPr>
                                <w:rFonts w:hint="eastAsia" w:asciiTheme="minorEastAsia" w:hAnsiTheme="minorEastAsia" w:cstheme="minorEastAsia"/>
                                <w:sz w:val="15"/>
                                <w:szCs w:val="15"/>
                              </w:rPr>
                              <w:t>收回询证函</w:t>
                            </w:r>
                          </w:p>
                          <w:p w14:paraId="6480F4AA">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(回函控制)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15pt;margin-top:10.35pt;height:25.5pt;width:97.3pt;z-index:251668480;v-text-anchor:middle;mso-width-relative:page;mso-height-relative:page;" filled="f" stroked="t" coordsize="21600,21600" o:gfxdata="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gGn5J2QAAAAkBAAAPAAAAAAAAAAEAIAAAACIAAABkcnMvZG93bnJl&#10;di54bWxQSwECFAAUAAAACACHTuJAGlmw/24CAADYBAAADgAAAAAAAAABACAAAAAoAQAAZHJzL2Uy&#10;b0RvYy54bWxQSwUGAAAAAAYABgBZAQAACAYAAAAA&#10;">
                <v:fill on="f" focussize="0,0"/>
                <v:stroke weight="1pt" color="#000000 [3213]" miterlimit="8" joinstyle="miter"/>
                <v:imagedata o:title=""/>
                <o:lock v:ext="edit" aspectratio="f"/>
                <v:textbox>
                  <w:txbxContent>
                    <w:p w14:paraId="609F23B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8.</w:t>
                      </w:r>
                      <w:r>
                        <w:rPr>
                          <w:rFonts w:hint="eastAsia" w:asciiTheme="minorEastAsia" w:hAnsiTheme="minorEastAsia" w:cstheme="minorEastAsia"/>
                          <w:sz w:val="15"/>
                          <w:szCs w:val="15"/>
                        </w:rPr>
                        <w:t>收回询证函</w:t>
                      </w:r>
                    </w:p>
                    <w:p w14:paraId="6480F4AA">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(回函控制)</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3810</wp:posOffset>
                </wp:positionV>
                <wp:extent cx="462915" cy="0"/>
                <wp:effectExtent l="0" t="38100" r="13335" b="38100"/>
                <wp:wrapNone/>
                <wp:docPr id="27" name="直接箭头连接符 27"/>
                <wp:cNvGraphicFramePr/>
                <a:graphic xmlns:a="http://schemas.openxmlformats.org/drawingml/2006/main">
                  <a:graphicData uri="http://schemas.microsoft.com/office/word/2010/wordprocessingShape">
                    <wps:wsp>
                      <wps:cNvCnPr/>
                      <wps:spPr>
                        <a:xfrm flipH="1">
                          <a:off x="0" y="0"/>
                          <a:ext cx="462915" cy="0"/>
                        </a:xfrm>
                        <a:prstGeom prst="straightConnector1">
                          <a:avLst/>
                        </a:prstGeom>
                        <a:ln>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11.9pt;margin-top:0.3pt;height:0pt;width:36.45pt;z-index:251669504;mso-width-relative:page;mso-height-relative:page;" filled="f" stroked="t" coordsize="21600,21600" o:gfxdata="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0JM/NMAAAAFAQAADwAAAAAAAAABACAAAAAi&#10;AAAAZHJzL2Rvd25yZXYueG1sUEsBAhQAFAAAAAgAh07iQOMgCsMPAgAA7wMAAA4AAAAAAAAAAQAg&#10;AAAAIgEAAGRycy9lMm9Eb2MueG1sUEsFBgAAAAAGAAYAWQEAAKMFAAAAAA==&#10;">
                <v:fill on="f" focussize="0,0"/>
                <v:stroke weight="1pt" color="#000000 [3213]" miterlimit="8" joinstyle="miter" dashstyle="3 1" endarrow="block"/>
                <v:imagedata o:title=""/>
                <o:lock v:ext="edit" aspectratio="f"/>
              </v:shape>
            </w:pict>
          </mc:Fallback>
        </mc:AlternateContent>
      </w:r>
    </w:p>
    <w:p w14:paraId="0946E863">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2469515</wp:posOffset>
                </wp:positionH>
                <wp:positionV relativeFrom="paragraph">
                  <wp:posOffset>194310</wp:posOffset>
                </wp:positionV>
                <wp:extent cx="3810" cy="104775"/>
                <wp:effectExtent l="35560" t="0" r="36830" b="9525"/>
                <wp:wrapNone/>
                <wp:docPr id="53" name="直接箭头连接符 53"/>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4.45pt;margin-top:15.3pt;height:8.25pt;width:0.3pt;z-index:251677696;mso-width-relative:page;mso-height-relative:page;" filled="f" stroked="t" coordsize="21600,21600" o:gfxdata="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rA8fWAAAACQEAAA8AAAAAAAAAAQAg&#10;AAAAIgAAAGRycy9kb3ducmV2LnhtbFBLAQIUABQAAAAIAIdO4kBFILMuEAIAAPADAAAOAAAAAAAA&#10;AAEAIAAAACUBAABkcnMvZTJvRG9jLnhtbFBLBQYAAAAABgAGAFkBAACnBQAAAAA=&#10;">
                <v:fill on="f" focussize="0,0"/>
                <v:stroke weight="1pt" color="#000000 [3213]" miterlimit="8" joinstyle="miter" endarrow="block"/>
                <v:imagedata o:title=""/>
                <o:lock v:ext="edit" aspectratio="f"/>
              </v:shape>
            </w:pict>
          </mc:Fallback>
        </mc:AlternateContent>
      </w:r>
    </w:p>
    <w:p w14:paraId="367AA93E">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1893570</wp:posOffset>
                </wp:positionH>
                <wp:positionV relativeFrom="paragraph">
                  <wp:posOffset>8255</wp:posOffset>
                </wp:positionV>
                <wp:extent cx="1236980" cy="219075"/>
                <wp:effectExtent l="6350" t="6350" r="13970" b="22225"/>
                <wp:wrapNone/>
                <wp:docPr id="30" name="矩形 30"/>
                <wp:cNvGraphicFramePr/>
                <a:graphic xmlns:a="http://schemas.openxmlformats.org/drawingml/2006/main">
                  <a:graphicData uri="http://schemas.microsoft.com/office/word/2010/wordprocessingShape">
                    <wps:wsp>
                      <wps:cNvSpPr/>
                      <wps:spPr>
                        <a:xfrm>
                          <a:off x="0" y="0"/>
                          <a:ext cx="123698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0AC53C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w:t>
                            </w:r>
                            <w:r>
                              <w:rPr>
                                <w:rFonts w:hint="eastAsia" w:asciiTheme="minorEastAsia" w:hAnsiTheme="minorEastAsia" w:cstheme="minorEastAsia"/>
                                <w:sz w:val="15"/>
                                <w:szCs w:val="15"/>
                              </w:rPr>
                              <w:t>函证结果评价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1pt;margin-top:0.65pt;height:17.25pt;width:97.4pt;z-index:251670528;v-text-anchor:middle;mso-width-relative:page;mso-height-relative:page;" filled="f" stroked="t" coordsize="21600,21600" o:gfxdata="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RZVDJ1wAAAAgBAAAPAAAAAAAAAAEAIAAAACIAAABkcnMvZG93bnJldi54&#10;bWxQSwECFAAUAAAACACHTuJAO7C1e20CAADYBAAADgAAAAAAAAABACAAAAAmAQAAZHJzL2Uyb0Rv&#10;Yy54bWxQSwUGAAAAAAYABgBZAQAABQYAAAAA&#10;">
                <v:fill on="f" focussize="0,0"/>
                <v:stroke weight="1pt" color="#000000 [3213]" miterlimit="8" joinstyle="miter"/>
                <v:imagedata o:title=""/>
                <o:lock v:ext="edit" aspectratio="f"/>
                <v:textbox>
                  <w:txbxContent>
                    <w:p w14:paraId="00AC53C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w:t>
                      </w:r>
                      <w:r>
                        <w:rPr>
                          <w:rFonts w:hint="eastAsia" w:asciiTheme="minorEastAsia" w:hAnsiTheme="minorEastAsia" w:cstheme="minorEastAsia"/>
                          <w:sz w:val="15"/>
                          <w:szCs w:val="15"/>
                        </w:rPr>
                        <w:t>函证结果评价</w:t>
                      </w:r>
                    </w:p>
                  </w:txbxContent>
                </v:textbox>
              </v:rect>
            </w:pict>
          </mc:Fallback>
        </mc:AlternateContent>
      </w:r>
    </w:p>
    <w:p w14:paraId="2DBCEA15">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48352" behindDoc="0" locked="0" layoutInCell="1" allowOverlap="1">
                <wp:simplePos x="0" y="0"/>
                <wp:positionH relativeFrom="column">
                  <wp:posOffset>1811020</wp:posOffset>
                </wp:positionH>
                <wp:positionV relativeFrom="paragraph">
                  <wp:posOffset>95885</wp:posOffset>
                </wp:positionV>
                <wp:extent cx="202565" cy="724535"/>
                <wp:effectExtent l="7620" t="0" r="48895" b="6985"/>
                <wp:wrapNone/>
                <wp:docPr id="61" name="肘形连接符 61"/>
                <wp:cNvGraphicFramePr/>
                <a:graphic xmlns:a="http://schemas.openxmlformats.org/drawingml/2006/main">
                  <a:graphicData uri="http://schemas.microsoft.com/office/word/2010/wordprocessingShape">
                    <wps:wsp>
                      <wps:cNvCnPr/>
                      <wps:spPr>
                        <a:xfrm rot="5400000" flipV="1">
                          <a:off x="2854960" y="8181340"/>
                          <a:ext cx="202565" cy="724535"/>
                        </a:xfrm>
                        <a:prstGeom prst="bentConnector3">
                          <a:avLst>
                            <a:gd name="adj1" fmla="val 50157"/>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42.6pt;margin-top:7.55pt;height:57.05pt;width:15.95pt;rotation:-5898240f;z-index:251748352;mso-width-relative:page;mso-height-relative:page;" filled="f" stroked="t" coordsize="21600,21600" o:gfxdata="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9XEwtkAAAAKAQAADwAAAAAAAAABACAAAAAiAAAAZHJzL2Rv&#10;d25yZXYueG1sUEsBAhQAFAAAAAgAh07iQAj7wds5AgAALwQAAA4AAAAAAAAAAQAgAAAAKAEAAGRy&#10;cy9lMm9Eb2MueG1sUEsFBgAAAAAGAAYAWQEAANMFAAAAAA==&#10;" adj="10834">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47328" behindDoc="0" locked="0" layoutInCell="1" allowOverlap="1">
                <wp:simplePos x="0" y="0"/>
                <wp:positionH relativeFrom="column">
                  <wp:posOffset>1095375</wp:posOffset>
                </wp:positionH>
                <wp:positionV relativeFrom="paragraph">
                  <wp:posOffset>83185</wp:posOffset>
                </wp:positionV>
                <wp:extent cx="180975" cy="728345"/>
                <wp:effectExtent l="52070" t="0" r="19685" b="9525"/>
                <wp:wrapNone/>
                <wp:docPr id="55" name="肘形连接符 55"/>
                <wp:cNvGraphicFramePr/>
                <a:graphic xmlns:a="http://schemas.openxmlformats.org/drawingml/2006/main">
                  <a:graphicData uri="http://schemas.microsoft.com/office/word/2010/wordprocessingShape">
                    <wps:wsp>
                      <wps:cNvCnPr/>
                      <wps:spPr>
                        <a:xfrm rot="5400000">
                          <a:off x="2139315" y="8168640"/>
                          <a:ext cx="180975" cy="728345"/>
                        </a:xfrm>
                        <a:prstGeom prst="bentConnector3">
                          <a:avLst>
                            <a:gd name="adj1" fmla="val 50175"/>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86.25pt;margin-top:6.55pt;height:57.35pt;width:14.25pt;rotation:5898240f;z-index:251747328;mso-width-relative:page;mso-height-relative:page;" filled="f" stroked="t" coordsize="21600,21600" o:gfxdata="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xQvztUAAAAKAQAADwAAAAAAAAABACAAAAAiAAAAZHJzL2Rvd25yZXYueG1sUEsB&#10;AhQAFAAAAAgAh07iQHVaqdYxAgAAJQQAAA4AAAAAAAAAAQAgAAAAJAEAAGRycy9lMm9Eb2MueG1s&#10;UEsFBgAAAAAGAAYAWQEAAMcFAAAAAA==&#10;" adj="10838">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922655</wp:posOffset>
                </wp:positionH>
                <wp:positionV relativeFrom="paragraph">
                  <wp:posOffset>128905</wp:posOffset>
                </wp:positionV>
                <wp:extent cx="1254125" cy="228600"/>
                <wp:effectExtent l="6350" t="6350" r="15875" b="12700"/>
                <wp:wrapNone/>
                <wp:docPr id="14" name="矩形 14"/>
                <wp:cNvGraphicFramePr/>
                <a:graphic xmlns:a="http://schemas.openxmlformats.org/drawingml/2006/main">
                  <a:graphicData uri="http://schemas.microsoft.com/office/word/2010/wordprocessingShape">
                    <wps:wsp>
                      <wps:cNvSpPr/>
                      <wps:spPr>
                        <a:xfrm>
                          <a:off x="0" y="0"/>
                          <a:ext cx="1254125" cy="228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36E46B7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w:t>
                            </w:r>
                            <w:r>
                              <w:rPr>
                                <w:rFonts w:hint="eastAsia" w:asciiTheme="minorEastAsia" w:hAnsiTheme="minorEastAsia" w:cstheme="minorEastAsia"/>
                                <w:sz w:val="15"/>
                                <w:szCs w:val="15"/>
                              </w:rPr>
                              <w:t>收到回函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65pt;margin-top:10.15pt;height:18pt;width:98.75pt;z-index:251678720;v-text-anchor:middle;mso-width-relative:page;mso-height-relative:page;" filled="f" stroked="t" coordsize="21600,21600" o:gfxdata="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yN0o1wAAAAkBAAAPAAAAAAAAAAEAIAAAACIAAABkcnMvZG93bnJldi54&#10;bWxQSwECFAAUAAAACACHTuJAhZjyxm0CAADYBAAADgAAAAAAAAABACAAAAAmAQAAZHJzL2Uyb0Rv&#10;Yy54bWxQSwUGAAAAAAYABgBZAQAABQYAAAAA&#10;">
                <v:fill on="f" focussize="0,0"/>
                <v:stroke weight="1pt" color="#000000 [3213]" miterlimit="8" joinstyle="miter"/>
                <v:imagedata o:title=""/>
                <o:lock v:ext="edit" aspectratio="f"/>
                <v:textbox>
                  <w:txbxContent>
                    <w:p w14:paraId="36E46B7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w:t>
                      </w:r>
                      <w:r>
                        <w:rPr>
                          <w:rFonts w:hint="eastAsia" w:asciiTheme="minorEastAsia" w:hAnsiTheme="minorEastAsia" w:cstheme="minorEastAsia"/>
                          <w:sz w:val="15"/>
                          <w:szCs w:val="15"/>
                        </w:rPr>
                        <w:t>收到回函</w:t>
                      </w:r>
                    </w:p>
                  </w:txbxContent>
                </v:textbox>
              </v:rect>
            </w:pict>
          </mc:Fallback>
        </mc:AlternateContent>
      </w:r>
      <w:r>
        <w:rPr>
          <w:sz w:val="24"/>
        </w:rPr>
        <mc:AlternateContent>
          <mc:Choice Requires="wps">
            <w:drawing>
              <wp:anchor distT="0" distB="0" distL="114300" distR="114300" simplePos="0" relativeHeight="251746304" behindDoc="0" locked="0" layoutInCell="1" allowOverlap="1">
                <wp:simplePos x="0" y="0"/>
                <wp:positionH relativeFrom="column">
                  <wp:posOffset>1631950</wp:posOffset>
                </wp:positionH>
                <wp:positionV relativeFrom="paragraph">
                  <wp:posOffset>-52705</wp:posOffset>
                </wp:positionV>
                <wp:extent cx="451485" cy="2072005"/>
                <wp:effectExtent l="7620" t="0" r="15875" b="253365"/>
                <wp:wrapNone/>
                <wp:docPr id="54" name="肘形连接符 54"/>
                <wp:cNvGraphicFramePr/>
                <a:graphic xmlns:a="http://schemas.openxmlformats.org/drawingml/2006/main">
                  <a:graphicData uri="http://schemas.microsoft.com/office/word/2010/wordprocessingShape">
                    <wps:wsp>
                      <wps:cNvCnPr/>
                      <wps:spPr>
                        <a:xfrm rot="5400000" flipV="1">
                          <a:off x="2766060" y="8122920"/>
                          <a:ext cx="451485" cy="2072005"/>
                        </a:xfrm>
                        <a:prstGeom prst="bentConnector3">
                          <a:avLst>
                            <a:gd name="adj1" fmla="val 152743"/>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28.5pt;margin-top:-4.15pt;height:163.15pt;width:35.55pt;rotation:-5898240f;z-index:251746304;mso-width-relative:page;mso-height-relative:page;" filled="f" stroked="t" coordsize="21600,21600" o:gfxdata="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MsItnaAAAACgEAAA8AAAAAAAAAAQAgAAAAIgAAAGRycy9kb3ducmV2LnhtbFBLAQIU&#10;ABQAAAAIAIdO4kD3qHmkKgIAABUEAAAOAAAAAAAAAAEAIAAAACkBAABkcnMvZTJvRG9jLnhtbFBL&#10;BQYAAAAABgAGAFkBAADFBQAAAAA=&#10;" adj="32992">
                <v:fill on="f" focussize="0,0"/>
                <v:stroke weight="1.2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3048000</wp:posOffset>
                </wp:positionH>
                <wp:positionV relativeFrom="paragraph">
                  <wp:posOffset>102235</wp:posOffset>
                </wp:positionV>
                <wp:extent cx="1283970" cy="219075"/>
                <wp:effectExtent l="6350" t="6350" r="24130" b="22225"/>
                <wp:wrapNone/>
                <wp:docPr id="23" name="矩形 23"/>
                <wp:cNvGraphicFramePr/>
                <a:graphic xmlns:a="http://schemas.openxmlformats.org/drawingml/2006/main">
                  <a:graphicData uri="http://schemas.microsoft.com/office/word/2010/wordprocessingShape">
                    <wps:wsp>
                      <wps:cNvSpPr/>
                      <wps:spPr>
                        <a:xfrm>
                          <a:off x="0" y="0"/>
                          <a:ext cx="128397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97DED1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9.2</w:t>
                            </w:r>
                            <w:r>
                              <w:rPr>
                                <w:rFonts w:hint="eastAsia" w:asciiTheme="minorEastAsia" w:hAnsiTheme="minorEastAsia" w:cstheme="minorEastAsia"/>
                                <w:sz w:val="15"/>
                                <w:szCs w:val="15"/>
                              </w:rPr>
                              <w:t>未收到回函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pt;margin-top:8.05pt;height:17.25pt;width:101.1pt;z-index:251679744;v-text-anchor:middle;mso-width-relative:page;mso-height-relative:page;" filled="f" stroked="t" coordsize="21600,21600" o:gfxdata="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cjX01gAAAAkBAAAPAAAAAAAAAAEAIAAAACIAAABkcnMvZG93bnJldi54&#10;bWxQSwECFAAUAAAACACHTuJALAgDc24CAADYBAAADgAAAAAAAAABACAAAAAlAQAAZHJzL2Uyb0Rv&#10;Yy54bWxQSwUGAAAAAAYABgBZAQAABQYAAAAA&#10;">
                <v:fill on="f" focussize="0,0"/>
                <v:stroke weight="1pt" color="#000000 [3213]" miterlimit="8" joinstyle="miter"/>
                <v:imagedata o:title=""/>
                <o:lock v:ext="edit" aspectratio="f"/>
                <v:textbox>
                  <w:txbxContent>
                    <w:p w14:paraId="497DED1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9.2</w:t>
                      </w:r>
                      <w:r>
                        <w:rPr>
                          <w:rFonts w:hint="eastAsia" w:asciiTheme="minorEastAsia" w:hAnsiTheme="minorEastAsia" w:cstheme="minorEastAsia"/>
                          <w:sz w:val="15"/>
                          <w:szCs w:val="15"/>
                        </w:rPr>
                        <w:t>未收到回函</w:t>
                      </w:r>
                    </w:p>
                  </w:txbxContent>
                </v:textbox>
              </v:rect>
            </w:pict>
          </mc:Fallback>
        </mc:AlternateContent>
      </w:r>
    </w:p>
    <w:p w14:paraId="0A730854">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43232" behindDoc="0" locked="0" layoutInCell="1" allowOverlap="1">
                <wp:simplePos x="0" y="0"/>
                <wp:positionH relativeFrom="column">
                  <wp:posOffset>3712845</wp:posOffset>
                </wp:positionH>
                <wp:positionV relativeFrom="paragraph">
                  <wp:posOffset>26670</wp:posOffset>
                </wp:positionV>
                <wp:extent cx="0" cy="190500"/>
                <wp:effectExtent l="38100" t="0" r="38100" b="0"/>
                <wp:wrapNone/>
                <wp:docPr id="36" name="直接箭头连接符 36"/>
                <wp:cNvGraphicFramePr/>
                <a:graphic xmlns:a="http://schemas.openxmlformats.org/drawingml/2006/main">
                  <a:graphicData uri="http://schemas.microsoft.com/office/word/2010/wordprocessingShape">
                    <wps:wsp>
                      <wps:cNvCnPr/>
                      <wps:spPr>
                        <a:xfrm>
                          <a:off x="4737735" y="8048625"/>
                          <a:ext cx="0" cy="190500"/>
                        </a:xfrm>
                        <a:prstGeom prst="straightConnector1">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2.35pt;margin-top:2.1pt;height:15pt;width:0pt;z-index:251743232;mso-width-relative:page;mso-height-relative:page;" filled="f" stroked="t" coordsize="21600,21600" o:gfxdata="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EeLsdUAAAAIAQAADwAAAAAA&#10;AAABACAAAAAiAAAAZHJzL2Rvd25yZXYueG1sUEsBAhQAFAAAAAgAh07iQFTYkRcWAgAA7wMAAA4A&#10;AAAAAAAAAQAgAAAAJAEAAGRycy9lMm9Eb2MueG1sUEsFBgAAAAAGAAYAWQEAAKwFAAAAAA==&#10;">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1751965</wp:posOffset>
                </wp:positionH>
                <wp:positionV relativeFrom="paragraph">
                  <wp:posOffset>263525</wp:posOffset>
                </wp:positionV>
                <wp:extent cx="1045210" cy="351155"/>
                <wp:effectExtent l="6350" t="6350" r="15240" b="23495"/>
                <wp:wrapNone/>
                <wp:docPr id="34" name="矩形 34"/>
                <wp:cNvGraphicFramePr/>
                <a:graphic xmlns:a="http://schemas.openxmlformats.org/drawingml/2006/main">
                  <a:graphicData uri="http://schemas.microsoft.com/office/word/2010/wordprocessingShape">
                    <wps:wsp>
                      <wps:cNvSpPr/>
                      <wps:spPr>
                        <a:xfrm>
                          <a:off x="0" y="0"/>
                          <a:ext cx="1045210" cy="35115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E99217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9.1.2</w:t>
                            </w:r>
                            <w:r>
                              <w:rPr>
                                <w:rFonts w:hint="eastAsia" w:asciiTheme="minorEastAsia" w:hAnsiTheme="minorEastAsia" w:cstheme="minorEastAsia"/>
                                <w:sz w:val="15"/>
                                <w:szCs w:val="15"/>
                              </w:rPr>
                              <w:t>核对不符或不完全相符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95pt;margin-top:20.75pt;height:27.65pt;width:82.3pt;z-index:251681792;v-text-anchor:middle;mso-width-relative:page;mso-height-relative:page;" filled="f" stroked="t" coordsize="21600,21600" o:gfxdata="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lPdvnYAAAACQEAAA8AAAAAAAAAAQAgAAAAIgAAAGRycy9kb3ducmV2&#10;LnhtbFBLAQIUABQAAAAIAIdO4kA2XVYQbgIAANgEAAAOAAAAAAAAAAEAIAAAACcBAABkcnMvZTJv&#10;RG9jLnhtbFBLBQYAAAAABgAGAFkBAAAHBgAAAAA=&#10;">
                <v:fill on="f" focussize="0,0"/>
                <v:stroke weight="1pt" color="#000000 [3213]" miterlimit="8" joinstyle="miter"/>
                <v:imagedata o:title=""/>
                <o:lock v:ext="edit" aspectratio="f"/>
                <v:textbox>
                  <w:txbxContent>
                    <w:p w14:paraId="5E99217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9.1.2</w:t>
                      </w:r>
                      <w:r>
                        <w:rPr>
                          <w:rFonts w:hint="eastAsia" w:asciiTheme="minorEastAsia" w:hAnsiTheme="minorEastAsia" w:cstheme="minorEastAsia"/>
                          <w:sz w:val="15"/>
                          <w:szCs w:val="15"/>
                        </w:rPr>
                        <w:t>核对不符或不完全相符</w:t>
                      </w:r>
                    </w:p>
                  </w:txbxContent>
                </v:textbox>
              </v:rect>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312420</wp:posOffset>
                </wp:positionH>
                <wp:positionV relativeFrom="paragraph">
                  <wp:posOffset>241935</wp:posOffset>
                </wp:positionV>
                <wp:extent cx="1017905" cy="219075"/>
                <wp:effectExtent l="6350" t="6350" r="23495" b="22225"/>
                <wp:wrapNone/>
                <wp:docPr id="33" name="矩形 33"/>
                <wp:cNvGraphicFramePr/>
                <a:graphic xmlns:a="http://schemas.openxmlformats.org/drawingml/2006/main">
                  <a:graphicData uri="http://schemas.microsoft.com/office/word/2010/wordprocessingShape">
                    <wps:wsp>
                      <wps:cNvSpPr/>
                      <wps:spPr>
                        <a:xfrm>
                          <a:off x="0" y="0"/>
                          <a:ext cx="1017905"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35DA231B">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9.1.1</w:t>
                            </w:r>
                            <w:r>
                              <w:rPr>
                                <w:rFonts w:hint="eastAsia" w:asciiTheme="minorEastAsia" w:hAnsiTheme="minorEastAsia" w:cstheme="minorEastAsia"/>
                                <w:sz w:val="15"/>
                                <w:szCs w:val="15"/>
                              </w:rPr>
                              <w:t>核对相符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pt;margin-top:19.05pt;height:17.25pt;width:80.15pt;z-index:251680768;v-text-anchor:middle;mso-width-relative:page;mso-height-relative:page;" filled="f" stroked="t" coordsize="21600,21600" o:gfxdata="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S1RHNgAAAAIAQAADwAAAAAAAAABACAAAAAiAAAAZHJzL2Rvd25y&#10;ZXYueG1sUEsBAhQAFAAAAAgAh07iQK6LTU9wAgAA2AQAAA4AAAAAAAAAAQAgAAAAJwEAAGRycy9l&#10;Mm9Eb2MueG1sUEsFBgAAAAAGAAYAWQEAAAkGAAAAAA==&#10;">
                <v:fill on="f" focussize="0,0"/>
                <v:stroke weight="1pt" color="#000000 [3213]" miterlimit="8" joinstyle="miter"/>
                <v:imagedata o:title=""/>
                <o:lock v:ext="edit" aspectratio="f"/>
                <v:textbox>
                  <w:txbxContent>
                    <w:p w14:paraId="35DA231B">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9.1.1</w:t>
                      </w:r>
                      <w:r>
                        <w:rPr>
                          <w:rFonts w:hint="eastAsia" w:asciiTheme="minorEastAsia" w:hAnsiTheme="minorEastAsia" w:cstheme="minorEastAsia"/>
                          <w:sz w:val="15"/>
                          <w:szCs w:val="15"/>
                        </w:rPr>
                        <w:t>核对相符</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3237230</wp:posOffset>
                </wp:positionH>
                <wp:positionV relativeFrom="paragraph">
                  <wp:posOffset>213360</wp:posOffset>
                </wp:positionV>
                <wp:extent cx="1026795" cy="248920"/>
                <wp:effectExtent l="6350" t="6350" r="14605" b="11430"/>
                <wp:wrapNone/>
                <wp:docPr id="37" name="矩形 37"/>
                <wp:cNvGraphicFramePr/>
                <a:graphic xmlns:a="http://schemas.openxmlformats.org/drawingml/2006/main">
                  <a:graphicData uri="http://schemas.microsoft.com/office/word/2010/wordprocessingShape">
                    <wps:wsp>
                      <wps:cNvSpPr/>
                      <wps:spPr>
                        <a:xfrm>
                          <a:off x="0" y="0"/>
                          <a:ext cx="1026795" cy="24892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7B67D65">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w:t>
                            </w:r>
                            <w:r>
                              <w:rPr>
                                <w:rFonts w:hint="eastAsia" w:asciiTheme="minorEastAsia" w:hAnsiTheme="minorEastAsia" w:cstheme="minorEastAsia"/>
                                <w:sz w:val="15"/>
                                <w:szCs w:val="15"/>
                              </w:rPr>
                              <w:t>采取应对措施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9pt;margin-top:16.8pt;height:19.6pt;width:80.85pt;z-index:251682816;v-text-anchor:middle;mso-width-relative:page;mso-height-relative:page;" filled="f" stroked="t" coordsize="21600,21600" o:gfxdata="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4Zhek2QAAAAkBAAAPAAAAAAAAAAEAIAAAACIAAABkcnMvZG93&#10;bnJldi54bWxQSwECFAAUAAAACACHTuJAl7b4RnECAADYBAAADgAAAAAAAAABACAAAAAoAQAAZHJz&#10;L2Uyb0RvYy54bWxQSwUGAAAAAAYABgBZAQAACwYAAAAA&#10;">
                <v:fill on="f" focussize="0,0"/>
                <v:stroke weight="1pt" color="#000000 [3213]" miterlimit="8" joinstyle="miter"/>
                <v:imagedata o:title=""/>
                <o:lock v:ext="edit" aspectratio="f"/>
                <v:textbox>
                  <w:txbxContent>
                    <w:p w14:paraId="47B67D65">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w:t>
                      </w:r>
                      <w:r>
                        <w:rPr>
                          <w:rFonts w:hint="eastAsia" w:asciiTheme="minorEastAsia" w:hAnsiTheme="minorEastAsia" w:cstheme="minorEastAsia"/>
                          <w:sz w:val="15"/>
                          <w:szCs w:val="15"/>
                        </w:rPr>
                        <w:t>采取应对措施</w:t>
                      </w:r>
                    </w:p>
                  </w:txbxContent>
                </v:textbox>
              </v:rect>
            </w:pict>
          </mc:Fallback>
        </mc:AlternateContent>
      </w:r>
      <w:r>
        <w:rPr>
          <w:sz w:val="24"/>
        </w:rPr>
        <mc:AlternateContent>
          <mc:Choice Requires="wps">
            <w:drawing>
              <wp:anchor distT="0" distB="0" distL="114300" distR="114300" simplePos="0" relativeHeight="251745280" behindDoc="0" locked="0" layoutInCell="1" allowOverlap="1">
                <wp:simplePos x="0" y="0"/>
                <wp:positionH relativeFrom="column">
                  <wp:posOffset>4022090</wp:posOffset>
                </wp:positionH>
                <wp:positionV relativeFrom="paragraph">
                  <wp:posOffset>191770</wp:posOffset>
                </wp:positionV>
                <wp:extent cx="229235" cy="770890"/>
                <wp:effectExtent l="8255" t="0" r="40005" b="18415"/>
                <wp:wrapNone/>
                <wp:docPr id="42" name="肘形连接符 42"/>
                <wp:cNvGraphicFramePr/>
                <a:graphic xmlns:a="http://schemas.openxmlformats.org/drawingml/2006/main">
                  <a:graphicData uri="http://schemas.microsoft.com/office/word/2010/wordprocessingShape">
                    <wps:wsp>
                      <wps:cNvCnPr/>
                      <wps:spPr>
                        <a:xfrm rot="5400000" flipV="1">
                          <a:off x="4952365" y="8326755"/>
                          <a:ext cx="229235" cy="770890"/>
                        </a:xfrm>
                        <a:prstGeom prst="bentConnector3">
                          <a:avLst>
                            <a:gd name="adj1" fmla="val 50000"/>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316.7pt;margin-top:15.1pt;height:60.7pt;width:18.05pt;rotation:-5898240f;z-index:251745280;mso-width-relative:page;mso-height-relative:page;" filled="f" stroked="t" coordsize="21600,21600" o:gfxdata="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F/FNkAAAAKAQAADwAAAAAAAAABACAAAAAiAAAAZHJzL2Rv&#10;d25yZXYueG1sUEsBAhQAFAAAAAgAh07iQLS8Cok5AgAALwQAAA4AAAAAAAAAAQAgAAAAKAEAAGRy&#10;cy9lMm9Eb2MueG1sUEsFBgAAAAAGAAYAWQEAANMFAAAAAA==&#10;" adj="10800">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44256" behindDoc="0" locked="0" layoutInCell="1" allowOverlap="1">
                <wp:simplePos x="0" y="0"/>
                <wp:positionH relativeFrom="column">
                  <wp:posOffset>3202940</wp:posOffset>
                </wp:positionH>
                <wp:positionV relativeFrom="paragraph">
                  <wp:posOffset>153035</wp:posOffset>
                </wp:positionV>
                <wp:extent cx="238760" cy="857250"/>
                <wp:effectExtent l="38100" t="0" r="19050" b="8890"/>
                <wp:wrapNone/>
                <wp:docPr id="38" name="肘形连接符 38"/>
                <wp:cNvGraphicFramePr/>
                <a:graphic xmlns:a="http://schemas.openxmlformats.org/drawingml/2006/main">
                  <a:graphicData uri="http://schemas.microsoft.com/office/word/2010/wordprocessingShape">
                    <wps:wsp>
                      <wps:cNvCnPr/>
                      <wps:spPr>
                        <a:xfrm rot="5400000">
                          <a:off x="4204970" y="8235950"/>
                          <a:ext cx="238760" cy="857250"/>
                        </a:xfrm>
                        <a:prstGeom prst="bentConnector3">
                          <a:avLst>
                            <a:gd name="adj1" fmla="val 50000"/>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52.2pt;margin-top:12.05pt;height:67.5pt;width:18.8pt;rotation:5898240f;z-index:251744256;mso-width-relative:page;mso-height-relative:page;" filled="f" stroked="t" coordsize="21600,21600" o:gfxdata="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Ryu32gAAAAoBAAAPAAAAAAAAAAEAIAAAACIAAABkcnMvZG93bnJldi54&#10;bWxQSwECFAAUAAAACACHTuJASchacDECAAAlBAAADgAAAAAAAAABACAAAAApAQAAZHJzL2Uyb0Rv&#10;Yy54bWxQSwUGAAAAAAYABgBZAQAAzAUAAAAA&#10;" adj="10800">
                <v:fill on="f" focussize="0,0"/>
                <v:stroke weight="1.25pt" color="#000000 [3213]" miterlimit="8" joinstyle="miter" endarrow="block"/>
                <v:imagedata o:title=""/>
                <o:lock v:ext="edit" aspectratio="f"/>
              </v:shape>
            </w:pict>
          </mc:Fallback>
        </mc:AlternateContent>
      </w:r>
    </w:p>
    <w:p w14:paraId="7F8CF340">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49376" behindDoc="0" locked="0" layoutInCell="1" allowOverlap="1">
                <wp:simplePos x="0" y="0"/>
                <wp:positionH relativeFrom="column">
                  <wp:posOffset>2806700</wp:posOffset>
                </wp:positionH>
                <wp:positionV relativeFrom="paragraph">
                  <wp:posOffset>57150</wp:posOffset>
                </wp:positionV>
                <wp:extent cx="420370" cy="0"/>
                <wp:effectExtent l="0" t="38100" r="17780" b="38100"/>
                <wp:wrapNone/>
                <wp:docPr id="62" name="直接箭头连接符 62"/>
                <wp:cNvGraphicFramePr/>
                <a:graphic xmlns:a="http://schemas.openxmlformats.org/drawingml/2006/main">
                  <a:graphicData uri="http://schemas.microsoft.com/office/word/2010/wordprocessingShape">
                    <wps:wsp>
                      <wps:cNvCnPr/>
                      <wps:spPr>
                        <a:xfrm>
                          <a:off x="3841115" y="8821420"/>
                          <a:ext cx="420370" cy="0"/>
                        </a:xfrm>
                        <a:prstGeom prst="straightConnector1">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1pt;margin-top:4.5pt;height:0pt;width:33.1pt;z-index:251749376;mso-width-relative:page;mso-height-relative:page;" filled="f" stroked="t" coordsize="21600,21600" o:gfxdata="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kTLMNUAAAAHAQAADwAAAAAAAAAB&#10;ACAAAAAiAAAAZHJzL2Rvd25yZXYueG1sUEsBAhQAFAAAAAgAh07iQJpm4mwTAgAA7wMAAA4AAAAA&#10;AAAAAQAgAAAAJAEAAGRycy9lMm9Eb2MueG1sUEsFBgAAAAAGAAYAWQEAAKkFAAAAAA==&#10;">
                <v:fill on="f" focussize="0,0"/>
                <v:stroke weight="1.25pt" color="#000000 [3213]" miterlimit="8" joinstyle="miter" endarrow="block"/>
                <v:imagedata o:title=""/>
                <o:lock v:ext="edit" aspectratio="f"/>
              </v:shape>
            </w:pict>
          </mc:Fallback>
        </mc:AlternateContent>
      </w:r>
    </w:p>
    <w:p w14:paraId="2FDFD193">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4036695</wp:posOffset>
                </wp:positionH>
                <wp:positionV relativeFrom="paragraph">
                  <wp:posOffset>98425</wp:posOffset>
                </wp:positionV>
                <wp:extent cx="969645" cy="209550"/>
                <wp:effectExtent l="6350" t="6350" r="14605" b="12700"/>
                <wp:wrapNone/>
                <wp:docPr id="41" name="矩形 41"/>
                <wp:cNvGraphicFramePr/>
                <a:graphic xmlns:a="http://schemas.openxmlformats.org/drawingml/2006/main">
                  <a:graphicData uri="http://schemas.microsoft.com/office/word/2010/wordprocessingShape">
                    <wps:wsp>
                      <wps:cNvSpPr/>
                      <wps:spPr>
                        <a:xfrm>
                          <a:off x="0" y="0"/>
                          <a:ext cx="969645" cy="2095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71047ED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9.3.2</w:t>
                            </w:r>
                            <w:r>
                              <w:rPr>
                                <w:rFonts w:hint="eastAsia" w:asciiTheme="minorEastAsia" w:hAnsiTheme="minorEastAsia" w:cstheme="minorEastAsia"/>
                                <w:sz w:val="15"/>
                                <w:szCs w:val="15"/>
                              </w:rPr>
                              <w:t>再次发函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85pt;margin-top:7.75pt;height:16.5pt;width:76.35pt;z-index:251684864;v-text-anchor:middle;mso-width-relative:page;mso-height-relative:page;" filled="f" stroked="t" coordsize="21600,21600" o:gfxdata="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zKi012AAAAAkBAAAPAAAAAAAAAAEAIAAAACIAAABkcnMvZG93bnJl&#10;di54bWxQSwECFAAUAAAACACHTuJAWNMTmG8CAADXBAAADgAAAAAAAAABACAAAAAnAQAAZHJzL2Uy&#10;b0RvYy54bWxQSwUGAAAAAAYABgBZAQAACAYAAAAA&#10;">
                <v:fill on="f" focussize="0,0"/>
                <v:stroke weight="1pt" color="#000000 [3213]" miterlimit="8" joinstyle="miter"/>
                <v:imagedata o:title=""/>
                <o:lock v:ext="edit" aspectratio="f"/>
                <v:textbox>
                  <w:txbxContent>
                    <w:p w14:paraId="71047ED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9.3.2</w:t>
                      </w:r>
                      <w:r>
                        <w:rPr>
                          <w:rFonts w:hint="eastAsia" w:asciiTheme="minorEastAsia" w:hAnsiTheme="minorEastAsia" w:cstheme="minorEastAsia"/>
                          <w:sz w:val="15"/>
                          <w:szCs w:val="15"/>
                        </w:rPr>
                        <w:t>再次发函</w:t>
                      </w:r>
                    </w:p>
                  </w:txbxContent>
                </v:textbox>
              </v:rect>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2380615</wp:posOffset>
                </wp:positionH>
                <wp:positionV relativeFrom="paragraph">
                  <wp:posOffset>107950</wp:posOffset>
                </wp:positionV>
                <wp:extent cx="1026160" cy="211455"/>
                <wp:effectExtent l="6350" t="6350" r="15240" b="10795"/>
                <wp:wrapNone/>
                <wp:docPr id="40" name="矩形 40"/>
                <wp:cNvGraphicFramePr/>
                <a:graphic xmlns:a="http://schemas.openxmlformats.org/drawingml/2006/main">
                  <a:graphicData uri="http://schemas.microsoft.com/office/word/2010/wordprocessingShape">
                    <wps:wsp>
                      <wps:cNvSpPr/>
                      <wps:spPr>
                        <a:xfrm>
                          <a:off x="0" y="0"/>
                          <a:ext cx="1026160" cy="21145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7CA95F0D">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9.3.1</w:t>
                            </w:r>
                            <w:r>
                              <w:rPr>
                                <w:rFonts w:hint="eastAsia" w:asciiTheme="minorEastAsia" w:hAnsiTheme="minorEastAsia" w:cstheme="minorEastAsia"/>
                                <w:sz w:val="15"/>
                                <w:szCs w:val="15"/>
                              </w:rPr>
                              <w:t>替代程序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45pt;margin-top:8.5pt;height:16.65pt;width:80.8pt;z-index:251683840;v-text-anchor:middle;mso-width-relative:page;mso-height-relative:page;" filled="f" stroked="t" coordsize="21600,21600" o:gfxdata="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HEmLtgAAAAJAQAADwAAAAAAAAABACAAAAAiAAAAZHJzL2Rvd25yZXYu&#10;eG1sUEsBAhQAFAAAAAgAh07iQIAU9yttAgAA2AQAAA4AAAAAAAAAAQAgAAAAJwEAAGRycy9lMm9E&#10;b2MueG1sUEsFBgAAAAAGAAYAWQEAAAYGAAAAAA==&#10;">
                <v:fill on="f" focussize="0,0"/>
                <v:stroke weight="1pt" color="#000000 [3213]" miterlimit="8" joinstyle="miter"/>
                <v:imagedata o:title=""/>
                <o:lock v:ext="edit" aspectratio="f"/>
                <v:textbox>
                  <w:txbxContent>
                    <w:p w14:paraId="7CA95F0D">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9.3.1</w:t>
                      </w:r>
                      <w:r>
                        <w:rPr>
                          <w:rFonts w:hint="eastAsia" w:asciiTheme="minorEastAsia" w:hAnsiTheme="minorEastAsia" w:cstheme="minorEastAsia"/>
                          <w:sz w:val="15"/>
                          <w:szCs w:val="15"/>
                        </w:rPr>
                        <w:t>替代程序</w:t>
                      </w:r>
                    </w:p>
                  </w:txbxContent>
                </v:textbox>
              </v:rect>
            </w:pict>
          </mc:Fallback>
        </mc:AlternateContent>
      </w:r>
    </w:p>
    <w:p w14:paraId="30AAD15E">
      <w:pPr>
        <w:snapToGrid w:val="0"/>
        <w:spacing w:line="360" w:lineRule="auto"/>
        <w:ind w:firstLine="482" w:firstLineChars="200"/>
        <w:jc w:val="left"/>
        <w:outlineLvl w:val="2"/>
        <w:rPr>
          <w:rFonts w:asciiTheme="minorEastAsia" w:hAnsiTheme="minorEastAsia" w:cstheme="minorEastAsia"/>
          <w:b/>
          <w:bCs/>
          <w:sz w:val="24"/>
        </w:rPr>
      </w:pPr>
    </w:p>
    <w:p w14:paraId="13227C5A">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2049145</wp:posOffset>
                </wp:positionH>
                <wp:positionV relativeFrom="paragraph">
                  <wp:posOffset>4445</wp:posOffset>
                </wp:positionV>
                <wp:extent cx="3810" cy="104775"/>
                <wp:effectExtent l="35560" t="0" r="36830" b="9525"/>
                <wp:wrapNone/>
                <wp:docPr id="59" name="直接箭头连接符 59"/>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1.35pt;margin-top:0.35pt;height:8.25pt;width:0.3pt;z-index:251686912;mso-width-relative:page;mso-height-relative:page;" filled="f" stroked="t" coordsize="21600,21600" o:gfxdata="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Hb2AfTAAAABwEAAA8AAAAAAAAAAQAgAAAA&#10;IgAAAGRycy9kb3ducmV2LnhtbFBLAQIUABQAAAAIAIdO4kC2s6qqEAIAAPADAAAOAAAAAAAAAAEA&#10;IAAAACIBAABkcnMvZTJvRG9jLnhtbFBLBQYAAAAABgAGAFkBAACkBQ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1494155</wp:posOffset>
                </wp:positionH>
                <wp:positionV relativeFrom="paragraph">
                  <wp:posOffset>113665</wp:posOffset>
                </wp:positionV>
                <wp:extent cx="1082675" cy="210185"/>
                <wp:effectExtent l="6350" t="6350" r="15875" b="12065"/>
                <wp:wrapNone/>
                <wp:docPr id="63" name="矩形 63"/>
                <wp:cNvGraphicFramePr/>
                <a:graphic xmlns:a="http://schemas.openxmlformats.org/drawingml/2006/main">
                  <a:graphicData uri="http://schemas.microsoft.com/office/word/2010/wordprocessingShape">
                    <wps:wsp>
                      <wps:cNvSpPr/>
                      <wps:spPr>
                        <a:xfrm>
                          <a:off x="0" y="0"/>
                          <a:ext cx="1082675" cy="21018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BF341D9">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9.4</w:t>
                            </w:r>
                            <w:r>
                              <w:rPr>
                                <w:rFonts w:hint="eastAsia" w:asciiTheme="minorEastAsia" w:hAnsiTheme="minorEastAsia" w:cstheme="minorEastAsia"/>
                                <w:sz w:val="15"/>
                                <w:szCs w:val="15"/>
                              </w:rPr>
                              <w:t>总体评价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65pt;margin-top:8.95pt;height:16.55pt;width:85.25pt;z-index:251687936;v-text-anchor:middle;mso-width-relative:page;mso-height-relative:page;" filled="f" stroked="t" coordsize="21600,21600" o:gfxdata="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H7ma9gAAAAJAQAADwAAAAAAAAABACAAAAAiAAAAZHJzL2Rvd25y&#10;ZXYueG1sUEsBAhQAFAAAAAgAh07iQKysvwVwAgAA2AQAAA4AAAAAAAAAAQAgAAAAJwEAAGRycy9l&#10;Mm9Eb2MueG1sUEsFBgAAAAAGAAYAWQEAAAkGAAAAAA==&#10;">
                <v:fill on="f" focussize="0,0"/>
                <v:stroke weight="1pt" color="#000000 [3213]" miterlimit="8" joinstyle="miter"/>
                <v:imagedata o:title=""/>
                <o:lock v:ext="edit" aspectratio="f"/>
                <v:textbox>
                  <w:txbxContent>
                    <w:p w14:paraId="6BF341D9">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9.4</w:t>
                      </w:r>
                      <w:r>
                        <w:rPr>
                          <w:rFonts w:hint="eastAsia" w:asciiTheme="minorEastAsia" w:hAnsiTheme="minorEastAsia" w:cstheme="minorEastAsia"/>
                          <w:sz w:val="15"/>
                          <w:szCs w:val="15"/>
                        </w:rPr>
                        <w:t>总体评价</w:t>
                      </w:r>
                    </w:p>
                  </w:txbxContent>
                </v:textbox>
              </v:rect>
            </w:pict>
          </mc:Fallback>
        </mc:AlternateContent>
      </w:r>
    </w:p>
    <w:p w14:paraId="1FA5A532">
      <w:pPr>
        <w:snapToGrid w:val="0"/>
        <w:spacing w:line="360" w:lineRule="auto"/>
        <w:ind w:firstLine="480" w:firstLineChars="200"/>
        <w:jc w:val="left"/>
        <w:outlineLvl w:val="2"/>
        <w:rPr>
          <w:rFonts w:asciiTheme="minorEastAsia" w:hAnsiTheme="minorEastAsia" w:eastAsiaTheme="minorEastAsia" w:cstheme="minorEastAsia"/>
          <w:b/>
          <w:bCs/>
          <w:sz w:val="24"/>
        </w:rPr>
      </w:pPr>
      <w:r>
        <w:rPr>
          <w:sz w:val="24"/>
        </w:rPr>
        <mc:AlternateContent>
          <mc:Choice Requires="wps">
            <w:drawing>
              <wp:anchor distT="0" distB="0" distL="114300" distR="114300" simplePos="0" relativeHeight="251699200" behindDoc="0" locked="0" layoutInCell="1" allowOverlap="1">
                <wp:simplePos x="0" y="0"/>
                <wp:positionH relativeFrom="column">
                  <wp:posOffset>2019300</wp:posOffset>
                </wp:positionH>
                <wp:positionV relativeFrom="paragraph">
                  <wp:posOffset>254000</wp:posOffset>
                </wp:positionV>
                <wp:extent cx="1463675" cy="236855"/>
                <wp:effectExtent l="6350" t="6350" r="15875" b="23495"/>
                <wp:wrapNone/>
                <wp:docPr id="168" name="矩形 168"/>
                <wp:cNvGraphicFramePr/>
                <a:graphic xmlns:a="http://schemas.openxmlformats.org/drawingml/2006/main">
                  <a:graphicData uri="http://schemas.microsoft.com/office/word/2010/wordprocessingShape">
                    <wps:wsp>
                      <wps:cNvSpPr/>
                      <wps:spPr>
                        <a:xfrm>
                          <a:off x="0" y="0"/>
                          <a:ext cx="1463675" cy="23685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2A6E4659">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1.制定函证计</w:t>
                            </w:r>
                            <w:r>
                              <w:rPr>
                                <w:rFonts w:hint="eastAsia" w:asciiTheme="minorEastAsia" w:hAnsiTheme="minorEastAsia" w:cstheme="minorEastAsia"/>
                                <w:sz w:val="15"/>
                                <w:szCs w:val="15"/>
                              </w:rPr>
                              <w:t>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20pt;height:18.65pt;width:115.25pt;z-index:251699200;v-text-anchor:middle;mso-width-relative:page;mso-height-relative:page;" filled="f" stroked="t" coordsize="21600,21600" o:gfxdata="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sIKLfYAAAACQEAAA8AAAAAAAAAAQAgAAAAIgAAAGRycy9kb3du&#10;cmV2LnhtbFBLAQIUABQAAAAIAIdO4kC0eG58cQIAANoEAAAOAAAAAAAAAAEAIAAAACcBAABkcnMv&#10;ZTJvRG9jLnhtbFBLBQYAAAAABgAGAFkBAAAKBgAAAAA=&#10;">
                <v:fill on="f" focussize="0,0"/>
                <v:stroke weight="1pt" color="#000000 [3213]" miterlimit="8" joinstyle="miter"/>
                <v:imagedata o:title=""/>
                <o:lock v:ext="edit" aspectratio="f"/>
                <v:textbox>
                  <w:txbxContent>
                    <w:p w14:paraId="2A6E4659">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1.制定函证计</w:t>
                      </w:r>
                      <w:r>
                        <w:rPr>
                          <w:rFonts w:hint="eastAsia" w:asciiTheme="minorEastAsia" w:hAnsiTheme="minorEastAsia" w:cstheme="minorEastAsia"/>
                          <w:sz w:val="15"/>
                          <w:szCs w:val="15"/>
                        </w:rPr>
                        <w:t>划</w:t>
                      </w:r>
                    </w:p>
                  </w:txbxContent>
                </v:textbox>
              </v:rect>
            </w:pict>
          </mc:Fallback>
        </mc:AlternateContent>
      </w:r>
      <w:r>
        <w:rPr>
          <w:rFonts w:hint="eastAsia" w:asciiTheme="minorEastAsia" w:hAnsiTheme="minorEastAsia" w:eastAsiaTheme="minorEastAsia" w:cstheme="minorEastAsia"/>
          <w:b/>
          <w:bCs/>
          <w:sz w:val="24"/>
        </w:rPr>
        <w:t>（二）企业函证</w:t>
      </w:r>
    </w:p>
    <w:p w14:paraId="1F6FBF98">
      <w:pPr>
        <w:snapToGrid w:val="0"/>
        <w:spacing w:line="360" w:lineRule="auto"/>
        <w:ind w:firstLine="480" w:firstLineChars="200"/>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39136" behindDoc="0" locked="0" layoutInCell="1" allowOverlap="1">
                <wp:simplePos x="0" y="0"/>
                <wp:positionH relativeFrom="column">
                  <wp:posOffset>3405505</wp:posOffset>
                </wp:positionH>
                <wp:positionV relativeFrom="paragraph">
                  <wp:posOffset>188595</wp:posOffset>
                </wp:positionV>
                <wp:extent cx="209550" cy="1518285"/>
                <wp:effectExtent l="8255" t="0" r="54610" b="0"/>
                <wp:wrapNone/>
                <wp:docPr id="262" name="肘形连接符 262"/>
                <wp:cNvGraphicFramePr/>
                <a:graphic xmlns:a="http://schemas.openxmlformats.org/drawingml/2006/main">
                  <a:graphicData uri="http://schemas.microsoft.com/office/word/2010/wordprocessingShape">
                    <wps:wsp>
                      <wps:cNvCnPr/>
                      <wps:spPr>
                        <a:xfrm rot="5400000" flipV="1">
                          <a:off x="4449445" y="1276350"/>
                          <a:ext cx="209550" cy="1518285"/>
                        </a:xfrm>
                        <a:prstGeom prst="bentConnector3">
                          <a:avLst>
                            <a:gd name="adj1" fmla="val 49848"/>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68.15pt;margin-top:14.85pt;height:119.55pt;width:16.5pt;rotation:-5898240f;z-index:251739136;mso-width-relative:page;mso-height-relative:page;" filled="f" stroked="t" coordsize="21600,21600" o:gfxdata="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VeMOvaAAAACgEAAA8AAAAAAAAAAQAgAAAAIgAAAGRy&#10;cy9kb3ducmV2LnhtbFBLAQIUABQAAAAIAIdO4kDC4h6+PAIAADIEAAAOAAAAAAAAAAEAIAAAACkB&#10;AABkcnMvZTJvRG9jLnhtbFBLBQYAAAAABgAGAFkBAADXBQAAAAA=&#10;" adj="10767">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2774315</wp:posOffset>
                </wp:positionH>
                <wp:positionV relativeFrom="paragraph">
                  <wp:posOffset>210820</wp:posOffset>
                </wp:positionV>
                <wp:extent cx="3810" cy="104775"/>
                <wp:effectExtent l="35560" t="0" r="36830" b="9525"/>
                <wp:wrapNone/>
                <wp:docPr id="169" name="直接箭头连接符 169"/>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8.45pt;margin-top:16.6pt;height:8.25pt;width:0.3pt;z-index:251700224;mso-width-relative:page;mso-height-relative:page;" filled="f" stroked="t" coordsize="21600,21600" o:gfxdata="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TLafnWAAAACQEAAA8AAAAAAAAAAQAg&#10;AAAAIgAAAGRycy9kb3ducmV2LnhtbFBLAQIUABQAAAAIAIdO4kBNuVhDEAIAAPIDAAAOAAAAAAAA&#10;AAEAIAAAACUBAABkcnMvZTJvRG9jLnhtbFBLBQYAAAAABgAGAFkBAACnBQAAAAA=&#10;">
                <v:fill on="f" focussize="0,0"/>
                <v:stroke weight="1pt" color="#000000 [3213]" miterlimit="8" joinstyle="miter" endarrow="block"/>
                <v:imagedata o:title=""/>
                <o:lock v:ext="edit" aspectratio="f"/>
              </v:shape>
            </w:pict>
          </mc:Fallback>
        </mc:AlternateContent>
      </w:r>
    </w:p>
    <w:p w14:paraId="5F7A810F">
      <w:pPr>
        <w:snapToGrid w:val="0"/>
        <w:spacing w:line="360" w:lineRule="auto"/>
        <w:jc w:val="center"/>
        <w:outlineLvl w:val="2"/>
        <w:rPr>
          <w:rFonts w:ascii="Arial" w:hAnsi="Arial" w:cs="Arial"/>
          <w:b/>
          <w:bCs/>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2764790</wp:posOffset>
                </wp:positionH>
                <wp:positionV relativeFrom="paragraph">
                  <wp:posOffset>228600</wp:posOffset>
                </wp:positionV>
                <wp:extent cx="3810" cy="104775"/>
                <wp:effectExtent l="35560" t="0" r="36830" b="9525"/>
                <wp:wrapNone/>
                <wp:docPr id="129" name="直接箭头连接符 129"/>
                <wp:cNvGraphicFramePr/>
                <a:graphic xmlns:a="http://schemas.openxmlformats.org/drawingml/2006/main">
                  <a:graphicData uri="http://schemas.microsoft.com/office/word/2010/wordprocessingShape">
                    <wps:wsp>
                      <wps:cNvCnPr/>
                      <wps:spPr>
                        <a:xfrm flipH="1">
                          <a:off x="3556635" y="460121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7.7pt;margin-top:18pt;height:8.25pt;width:0.3pt;z-index:251694080;mso-width-relative:page;mso-height-relative:page;" filled="f" stroked="t" coordsize="21600,21600" o:gfxdata="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9RNBtUAAAAJAQAA&#10;DwAAAAAAAAABACAAAAAiAAAAZHJzL2Rvd25yZXYueG1sUEsBAhQAFAAAAAgAh07iQMJ6jpocAgAA&#10;/gMAAA4AAAAAAAAAAQAgAAAAJAEAAGRycy9lMm9Eb2MueG1sUEsFBgAAAAAGAAYAWQEAALIFAAAA&#10;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2018030</wp:posOffset>
                </wp:positionH>
                <wp:positionV relativeFrom="paragraph">
                  <wp:posOffset>5080</wp:posOffset>
                </wp:positionV>
                <wp:extent cx="1465580" cy="209550"/>
                <wp:effectExtent l="6350" t="6350" r="13970" b="12700"/>
                <wp:wrapNone/>
                <wp:docPr id="130" name="矩形 130"/>
                <wp:cNvGraphicFramePr/>
                <a:graphic xmlns:a="http://schemas.openxmlformats.org/drawingml/2006/main">
                  <a:graphicData uri="http://schemas.microsoft.com/office/word/2010/wordprocessingShape">
                    <wps:wsp>
                      <wps:cNvSpPr/>
                      <wps:spPr>
                        <a:xfrm>
                          <a:off x="0" y="0"/>
                          <a:ext cx="1465580" cy="2095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BAC964E">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2.确定函证事</w:t>
                            </w:r>
                            <w:r>
                              <w:rPr>
                                <w:rFonts w:hint="eastAsia" w:asciiTheme="minorEastAsia" w:hAnsiTheme="minorEastAsia" w:cstheme="minorEastAsia"/>
                                <w:sz w:val="15"/>
                                <w:szCs w:val="15"/>
                              </w:rPr>
                              <w:t>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9pt;margin-top:0.4pt;height:16.5pt;width:115.4pt;z-index:251689984;v-text-anchor:middle;mso-width-relative:page;mso-height-relative:page;" filled="f" stroked="t" coordsize="21600,21600" o:gfxdata="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5Y1aNcAAAAHAQAADwAAAAAAAAABACAAAAAiAAAAZHJzL2Rvd25yZXYu&#10;eG1sUEsBAhQAFAAAAAgAh07iQO6IhpZuAgAA2gQAAA4AAAAAAAAAAQAgAAAAJgEAAGRycy9lMm9E&#10;b2MueG1sUEsFBgAAAAAGAAYAWQEAAAYGAAAAAA==&#10;">
                <v:fill on="f" focussize="0,0"/>
                <v:stroke weight="1pt" color="#000000 [3213]" miterlimit="8" joinstyle="miter"/>
                <v:imagedata o:title=""/>
                <o:lock v:ext="edit" aspectratio="f"/>
                <v:textbox>
                  <w:txbxContent>
                    <w:p w14:paraId="4BAC964E">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2.确定函证事</w:t>
                      </w:r>
                      <w:r>
                        <w:rPr>
                          <w:rFonts w:hint="eastAsia" w:asciiTheme="minorEastAsia" w:hAnsiTheme="minorEastAsia" w:cstheme="minorEastAsia"/>
                          <w:sz w:val="15"/>
                          <w:szCs w:val="15"/>
                        </w:rPr>
                        <w:t>项</w:t>
                      </w:r>
                    </w:p>
                  </w:txbxContent>
                </v:textbox>
              </v:rect>
            </w:pict>
          </mc:Fallback>
        </mc:AlternateContent>
      </w:r>
    </w:p>
    <w:p w14:paraId="3FD679E8">
      <w:pPr>
        <w:snapToGrid w:val="0"/>
        <w:spacing w:line="360" w:lineRule="auto"/>
        <w:jc w:val="both"/>
        <w:outlineLvl w:val="2"/>
        <w:rPr>
          <w:rFonts w:ascii="Arial" w:hAnsi="Arial" w:cs="Arial"/>
          <w:b/>
          <w:bCs/>
          <w:sz w:val="24"/>
        </w:rPr>
      </w:pPr>
      <w:r>
        <w:rPr>
          <w:sz w:val="24"/>
        </w:rPr>
        <mc:AlternateContent>
          <mc:Choice Requires="wps">
            <w:drawing>
              <wp:anchor distT="0" distB="0" distL="114300" distR="114300" simplePos="0" relativeHeight="251701248" behindDoc="0" locked="0" layoutInCell="1" allowOverlap="1">
                <wp:simplePos x="0" y="0"/>
                <wp:positionH relativeFrom="column">
                  <wp:posOffset>2019300</wp:posOffset>
                </wp:positionH>
                <wp:positionV relativeFrom="paragraph">
                  <wp:posOffset>64770</wp:posOffset>
                </wp:positionV>
                <wp:extent cx="1463675" cy="219075"/>
                <wp:effectExtent l="6350" t="6350" r="15875" b="22225"/>
                <wp:wrapNone/>
                <wp:docPr id="170" name="矩形 170"/>
                <wp:cNvGraphicFramePr/>
                <a:graphic xmlns:a="http://schemas.openxmlformats.org/drawingml/2006/main">
                  <a:graphicData uri="http://schemas.microsoft.com/office/word/2010/wordprocessingShape">
                    <wps:wsp>
                      <wps:cNvSpPr/>
                      <wps:spPr>
                        <a:xfrm>
                          <a:off x="0" y="0"/>
                          <a:ext cx="1463675"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19575495">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3.</w:t>
                            </w:r>
                            <w:r>
                              <w:rPr>
                                <w:rFonts w:hint="eastAsia" w:asciiTheme="minorEastAsia" w:hAnsiTheme="minorEastAsia" w:cstheme="minorEastAsia"/>
                                <w:sz w:val="15"/>
                                <w:szCs w:val="15"/>
                              </w:rPr>
                              <w:t>确定函证项目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5.1pt;height:17.25pt;width:115.25pt;z-index:251701248;v-text-anchor:middle;mso-width-relative:page;mso-height-relative:page;" filled="f" stroked="t" coordsize="21600,21600" o:gfxdata="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JlX63XAAAACQEAAA8AAAAAAAAAAQAgAAAAIgAAAGRycy9kb3ducmV2&#10;LnhtbFBLAQIUABQAAAAIAIdO4kDWSFdcbwIAANoEAAAOAAAAAAAAAAEAIAAAACYBAABkcnMvZTJv&#10;RG9jLnhtbFBLBQYAAAAABgAGAFkBAAAHBgAAAAA=&#10;">
                <v:fill on="f" focussize="0,0"/>
                <v:stroke weight="1pt" color="#000000 [3213]" miterlimit="8" joinstyle="miter"/>
                <v:imagedata o:title=""/>
                <o:lock v:ext="edit" aspectratio="f"/>
                <v:textbox>
                  <w:txbxContent>
                    <w:p w14:paraId="19575495">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3.</w:t>
                      </w:r>
                      <w:r>
                        <w:rPr>
                          <w:rFonts w:hint="eastAsia" w:asciiTheme="minorEastAsia" w:hAnsiTheme="minorEastAsia" w:cstheme="minorEastAsia"/>
                          <w:sz w:val="15"/>
                          <w:szCs w:val="15"/>
                        </w:rPr>
                        <w:t>确定函证项目</w:t>
                      </w:r>
                    </w:p>
                  </w:txbxContent>
                </v:textbox>
              </v:rect>
            </w:pict>
          </mc:Fallback>
        </mc:AlternateContent>
      </w:r>
    </w:p>
    <w:p w14:paraId="068E385F">
      <w:pPr>
        <w:snapToGrid w:val="0"/>
        <w:spacing w:line="360" w:lineRule="auto"/>
        <w:jc w:val="center"/>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03296" behindDoc="0" locked="0" layoutInCell="1" allowOverlap="1">
                <wp:simplePos x="0" y="0"/>
                <wp:positionH relativeFrom="column">
                  <wp:posOffset>3799840</wp:posOffset>
                </wp:positionH>
                <wp:positionV relativeFrom="paragraph">
                  <wp:posOffset>230505</wp:posOffset>
                </wp:positionV>
                <wp:extent cx="939800" cy="200025"/>
                <wp:effectExtent l="6350" t="6350" r="6350" b="22225"/>
                <wp:wrapNone/>
                <wp:docPr id="173" name="矩形 173"/>
                <wp:cNvGraphicFramePr/>
                <a:graphic xmlns:a="http://schemas.openxmlformats.org/drawingml/2006/main">
                  <a:graphicData uri="http://schemas.microsoft.com/office/word/2010/wordprocessingShape">
                    <wps:wsp>
                      <wps:cNvSpPr/>
                      <wps:spPr>
                        <a:xfrm>
                          <a:off x="0" y="0"/>
                          <a:ext cx="939800" cy="20002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7AE92D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函证很可能无效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2pt;margin-top:18.15pt;height:15.75pt;width:74pt;z-index:251703296;v-text-anchor:middle;mso-width-relative:page;mso-height-relative:page;" filled="f" stroked="t" coordsize="21600,21600" o:gfxdata="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d9IFtkAAAAJAQAADwAAAAAAAAABACAAAAAiAAAAZHJzL2Rvd25y&#10;ZXYueG1sUEsBAhQAFAAAAAgAh07iQEm42Z9vAgAA2QQAAA4AAAAAAAAAAQAgAAAAKAEAAGRycy9l&#10;Mm9Eb2MueG1sUEsFBgAAAAAGAAYAWQEAAAkGAAAAAA==&#10;">
                <v:fill on="f" focussize="0,0"/>
                <v:stroke weight="1pt" color="#000000 [3213]" miterlimit="8" joinstyle="miter"/>
                <v:imagedata o:title=""/>
                <o:lock v:ext="edit" aspectratio="f"/>
                <v:textbox>
                  <w:txbxContent>
                    <w:p w14:paraId="07AE92D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函证很可能无效</w:t>
                      </w:r>
                    </w:p>
                  </w:txbxContent>
                </v:textbox>
              </v:rect>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817880</wp:posOffset>
                </wp:positionH>
                <wp:positionV relativeFrom="paragraph">
                  <wp:posOffset>220980</wp:posOffset>
                </wp:positionV>
                <wp:extent cx="1083945" cy="200025"/>
                <wp:effectExtent l="6350" t="6350" r="14605" b="22225"/>
                <wp:wrapNone/>
                <wp:docPr id="172" name="矩形 172"/>
                <wp:cNvGraphicFramePr/>
                <a:graphic xmlns:a="http://schemas.openxmlformats.org/drawingml/2006/main">
                  <a:graphicData uri="http://schemas.microsoft.com/office/word/2010/wordprocessingShape">
                    <wps:wsp>
                      <wps:cNvSpPr/>
                      <wps:spPr>
                        <a:xfrm>
                          <a:off x="0" y="0"/>
                          <a:ext cx="1083945" cy="20002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B6AF42D">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函证有效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4pt;margin-top:17.4pt;height:15.75pt;width:85.35pt;z-index:251702272;v-text-anchor:middle;mso-width-relative:page;mso-height-relative:page;" filled="f" stroked="t" coordsize="21600,21600" o:gfxdata="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v+Es9gAAAAJAQAADwAAAAAAAAABACAAAAAiAAAAZHJzL2Rvd25y&#10;ZXYueG1sUEsBAhQAFAAAAAgAh07iQBKkEfFwAgAA2gQAAA4AAAAAAAAAAQAgAAAAJwEAAGRycy9l&#10;Mm9Eb2MueG1sUEsFBgAAAAAGAAYAWQEAAAkGAAAAAA==&#10;">
                <v:fill on="f" focussize="0,0"/>
                <v:stroke weight="1pt" color="#000000 [3213]" miterlimit="8" joinstyle="miter"/>
                <v:imagedata o:title=""/>
                <o:lock v:ext="edit" aspectratio="f"/>
                <v:textbox>
                  <w:txbxContent>
                    <w:p w14:paraId="6B6AF42D">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函证有效</w:t>
                      </w:r>
                    </w:p>
                  </w:txbxContent>
                </v:textbox>
              </v:rect>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1951355</wp:posOffset>
                </wp:positionH>
                <wp:positionV relativeFrom="paragraph">
                  <wp:posOffset>-570230</wp:posOffset>
                </wp:positionV>
                <wp:extent cx="200025" cy="1381760"/>
                <wp:effectExtent l="38100" t="0" r="8890" b="9525"/>
                <wp:wrapNone/>
                <wp:docPr id="260" name="肘形连接符 260"/>
                <wp:cNvGraphicFramePr/>
                <a:graphic xmlns:a="http://schemas.openxmlformats.org/drawingml/2006/main">
                  <a:graphicData uri="http://schemas.microsoft.com/office/word/2010/wordprocessingShape">
                    <wps:wsp>
                      <wps:cNvCnPr/>
                      <wps:spPr>
                        <a:xfrm rot="5400000">
                          <a:off x="3004820" y="1339850"/>
                          <a:ext cx="200025" cy="1381760"/>
                        </a:xfrm>
                        <a:prstGeom prst="bentConnector3">
                          <a:avLst>
                            <a:gd name="adj1" fmla="val 50000"/>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53.65pt;margin-top:-44.9pt;height:108.8pt;width:15.75pt;rotation:5898240f;z-index:251738112;mso-width-relative:page;mso-height-relative:page;" filled="f" stroked="t" coordsize="21600,21600" o:gfxdata="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7cmYNsAAAALAQAADwAAAAAAAAABACAAAAAiAAAAZHJzL2Rvd25yZXYu&#10;eG1sUEsBAhQAFAAAAAgAh07iQNe3/xUxAgAAKAQAAA4AAAAAAAAAAQAgAAAAKgEAAGRycy9lMm9E&#10;b2MueG1sUEsFBgAAAAAGAAYAWQEAAM0FAAAAAA==&#10;" adj="10800">
                <v:fill on="f" focussize="0,0"/>
                <v:stroke weight="1.25pt" color="#000000 [3213]" miterlimit="8" joinstyle="miter" endarrow="block"/>
                <v:imagedata o:title=""/>
                <o:lock v:ext="edit" aspectratio="f"/>
              </v:shape>
            </w:pict>
          </mc:Fallback>
        </mc:AlternateContent>
      </w:r>
    </w:p>
    <w:p w14:paraId="4EEC91DA">
      <w:pPr>
        <w:rPr>
          <w:rFonts w:asciiTheme="minorEastAsia" w:hAnsiTheme="minorEastAsia" w:cstheme="minorEastAsia"/>
          <w:b/>
          <w:bCs/>
          <w:sz w:val="24"/>
        </w:rPr>
      </w:pPr>
      <w:r>
        <w:rPr>
          <w:sz w:val="24"/>
        </w:rPr>
        <mc:AlternateContent>
          <mc:Choice Requires="wps">
            <w:drawing>
              <wp:anchor distT="0" distB="0" distL="114300" distR="114300" simplePos="0" relativeHeight="251730944" behindDoc="0" locked="0" layoutInCell="1" allowOverlap="1">
                <wp:simplePos x="0" y="0"/>
                <wp:positionH relativeFrom="column">
                  <wp:posOffset>3081655</wp:posOffset>
                </wp:positionH>
                <wp:positionV relativeFrom="paragraph">
                  <wp:posOffset>100965</wp:posOffset>
                </wp:positionV>
                <wp:extent cx="1657985" cy="4298950"/>
                <wp:effectExtent l="0" t="7620" r="247015" b="55880"/>
                <wp:wrapNone/>
                <wp:docPr id="229" name="肘形连接符 229"/>
                <wp:cNvGraphicFramePr/>
                <a:graphic xmlns:a="http://schemas.openxmlformats.org/drawingml/2006/main">
                  <a:graphicData uri="http://schemas.microsoft.com/office/word/2010/wordprocessingShape">
                    <wps:wsp>
                      <wps:cNvCnPr/>
                      <wps:spPr>
                        <a:xfrm flipH="1">
                          <a:off x="5068570" y="2307590"/>
                          <a:ext cx="1657985" cy="4298950"/>
                        </a:xfrm>
                        <a:prstGeom prst="bentConnector3">
                          <a:avLst>
                            <a:gd name="adj1" fmla="val -14362"/>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margin-left:242.65pt;margin-top:7.95pt;height:338.5pt;width:130.55pt;z-index:251730944;mso-width-relative:page;mso-height-relative:page;" filled="f" stroked="t" coordsize="21600,21600" o:gfxdata="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5anILZAAAACgEAAA8AAAAAAAAAAQAgAAAAIgAAAGRycy9kb3du&#10;cmV2LnhtbFBLAQIUABQAAAAIAIdO4kAN0msJNwIAACYEAAAOAAAAAAAAAAEAIAAAACgBAABkcnMv&#10;ZTJvRG9jLnhtbFBLBQYAAAAABgAGAFkBAADRBQAAAAA=&#10;" adj="-3102">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1843405</wp:posOffset>
                </wp:positionH>
                <wp:positionV relativeFrom="paragraph">
                  <wp:posOffset>-250190</wp:posOffset>
                </wp:positionV>
                <wp:extent cx="200025" cy="957580"/>
                <wp:effectExtent l="6350" t="0" r="45720" b="9525"/>
                <wp:wrapNone/>
                <wp:docPr id="190" name="肘形连接符 190"/>
                <wp:cNvGraphicFramePr/>
                <a:graphic xmlns:a="http://schemas.openxmlformats.org/drawingml/2006/main">
                  <a:graphicData uri="http://schemas.microsoft.com/office/word/2010/wordprocessingShape">
                    <wps:wsp>
                      <wps:cNvCnPr/>
                      <wps:spPr>
                        <a:xfrm rot="5400000" flipV="1">
                          <a:off x="0" y="0"/>
                          <a:ext cx="200025" cy="957580"/>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45.15pt;margin-top:-19.7pt;height:75.4pt;width:15.75pt;rotation:-5898240f;z-index:251707392;mso-width-relative:page;mso-height-relative:page;" filled="f" stroked="t" coordsize="21600,21600" o:gfxdata="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pG2W2AAAAAsBAAAPAAAAAAAAAAEAIAAAACIAAABkcnMvZG93bnJldi54bWxQSwECFAAU&#10;AAAACACHTuJA9CIllCoCAAAlBAAADgAAAAAAAAABACAAAAAnAQAAZHJzL2Uyb0RvYy54bWxQSwUG&#10;AAAAAAYABgBZAQAAwwUAA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911860</wp:posOffset>
                </wp:positionH>
                <wp:positionV relativeFrom="paragraph">
                  <wp:posOffset>-224155</wp:posOffset>
                </wp:positionV>
                <wp:extent cx="200025" cy="904875"/>
                <wp:effectExtent l="38100" t="0" r="9525" b="9525"/>
                <wp:wrapNone/>
                <wp:docPr id="189" name="肘形连接符 189"/>
                <wp:cNvGraphicFramePr/>
                <a:graphic xmlns:a="http://schemas.openxmlformats.org/drawingml/2006/main">
                  <a:graphicData uri="http://schemas.microsoft.com/office/word/2010/wordprocessingShape">
                    <wps:wsp>
                      <wps:cNvCnPr/>
                      <wps:spPr>
                        <a:xfrm rot="5400000">
                          <a:off x="0" y="0"/>
                          <a:ext cx="200025" cy="904875"/>
                        </a:xfrm>
                        <a:prstGeom prst="bentConnector3">
                          <a:avLst>
                            <a:gd name="adj1" fmla="val 50159"/>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71.8pt;margin-top:-17.65pt;height:71.25pt;width:15.75pt;rotation:5898240f;z-index:251706368;mso-width-relative:page;mso-height-relative:page;" filled="f" stroked="t" coordsize="21600,21600" o:gfxdata="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R7FUzbAAAACwEAAA8AAAAAAAAAAQAgAAAAIgAAAGRycy9kb3ducmV2LnhtbFBLAQIUABQA&#10;AAAIAIdO4kBeYnVHJgIAABsEAAAOAAAAAAAAAAEAIAAAACoBAABkcnMvZTJvRG9jLnhtbFBLBQYA&#10;AAAABgAGAFkBAADCBQAAAAA=&#10;" adj="10834">
                <v:fill on="f" focussize="0,0"/>
                <v:stroke weight="1pt" color="#000000 [3213]" miterlimit="8" joinstyle="miter" endarrow="block"/>
                <v:imagedata o:title=""/>
                <o:lock v:ext="edit" aspectratio="f"/>
              </v:shape>
            </w:pict>
          </mc:Fallback>
        </mc:AlternateContent>
      </w:r>
    </w:p>
    <w:p w14:paraId="4A1C74D0">
      <w:pPr>
        <w:snapToGrid w:val="0"/>
        <w:spacing w:line="360" w:lineRule="auto"/>
        <w:rPr>
          <w:rFonts w:asciiTheme="minorEastAsia" w:hAnsiTheme="minorEastAsia" w:cstheme="minorEastAsia"/>
          <w:sz w:val="24"/>
        </w:rPr>
      </w:pPr>
      <w:r>
        <w:rPr>
          <w:sz w:val="24"/>
        </w:rPr>
        <mc:AlternateContent>
          <mc:Choice Requires="wps">
            <w:drawing>
              <wp:anchor distT="0" distB="0" distL="114300" distR="114300" simplePos="0" relativeHeight="251705344" behindDoc="0" locked="0" layoutInCell="1" allowOverlap="1">
                <wp:simplePos x="0" y="0"/>
                <wp:positionH relativeFrom="column">
                  <wp:posOffset>2037715</wp:posOffset>
                </wp:positionH>
                <wp:positionV relativeFrom="paragraph">
                  <wp:posOffset>126365</wp:posOffset>
                </wp:positionV>
                <wp:extent cx="1425575" cy="313690"/>
                <wp:effectExtent l="6350" t="6350" r="15875" b="22860"/>
                <wp:wrapNone/>
                <wp:docPr id="177" name="矩形 177"/>
                <wp:cNvGraphicFramePr/>
                <a:graphic xmlns:a="http://schemas.openxmlformats.org/drawingml/2006/main">
                  <a:graphicData uri="http://schemas.microsoft.com/office/word/2010/wordprocessingShape">
                    <wps:wsp>
                      <wps:cNvSpPr/>
                      <wps:spPr>
                        <a:xfrm>
                          <a:off x="0" y="0"/>
                          <a:ext cx="1425575" cy="31369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28EA9B4">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管理层允许函证</w:t>
                            </w:r>
                          </w:p>
                          <w:p w14:paraId="485EE257">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（或不允许但没有合理理由）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45pt;margin-top:9.95pt;height:24.7pt;width:112.25pt;z-index:251705344;v-text-anchor:middle;mso-width-relative:page;mso-height-relative:page;" filled="f" stroked="t" coordsize="21600,21600" o:gfxdata="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DlUQbYAAAACQEAAA8AAAAAAAAAAQAgAAAAIgAAAGRycy9kb3du&#10;cmV2LnhtbFBLAQIUABQAAAAIAIdO4kDWgJrNcQIAANoEAAAOAAAAAAAAAAEAIAAAACcBAABkcnMv&#10;ZTJvRG9jLnhtbFBLBQYAAAAABgAGAFkBAAAKBgAAAAA=&#10;">
                <v:fill on="f" focussize="0,0"/>
                <v:stroke weight="1pt" color="#000000 [3213]" miterlimit="8" joinstyle="miter"/>
                <v:imagedata o:title=""/>
                <o:lock v:ext="edit" aspectratio="f"/>
                <v:textbox>
                  <w:txbxContent>
                    <w:p w14:paraId="028EA9B4">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管理层允许函证</w:t>
                      </w:r>
                    </w:p>
                    <w:p w14:paraId="485EE257">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（或不允许但没有合理理由）</w:t>
                      </w:r>
                    </w:p>
                  </w:txbxContent>
                </v:textbox>
              </v:rect>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135890</wp:posOffset>
                </wp:positionV>
                <wp:extent cx="1090930" cy="321945"/>
                <wp:effectExtent l="6350" t="6350" r="7620" b="14605"/>
                <wp:wrapNone/>
                <wp:docPr id="176" name="矩形 176"/>
                <wp:cNvGraphicFramePr/>
                <a:graphic xmlns:a="http://schemas.openxmlformats.org/drawingml/2006/main">
                  <a:graphicData uri="http://schemas.microsoft.com/office/word/2010/wordprocessingShape">
                    <wps:wsp>
                      <wps:cNvSpPr/>
                      <wps:spPr>
                        <a:xfrm>
                          <a:off x="0" y="0"/>
                          <a:ext cx="1090930" cy="32194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54E5C1D">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管理层不允许函证</w:t>
                            </w:r>
                          </w:p>
                          <w:p w14:paraId="59EB8571">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w:t>
                            </w:r>
                            <w:r>
                              <w:rPr>
                                <w:rFonts w:hint="eastAsia" w:asciiTheme="minorEastAsia" w:hAnsiTheme="minorEastAsia" w:cstheme="minorEastAsia"/>
                                <w:sz w:val="15"/>
                                <w:szCs w:val="15"/>
                              </w:rPr>
                              <w:t>合理理由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pt;margin-top:10.7pt;height:25.35pt;width:85.9pt;z-index:251704320;v-text-anchor:middle;mso-width-relative:page;mso-height-relative:page;" filled="f" stroked="t" coordsize="21600,21600" o:gfxdata="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4ddt/XAAAACAEAAA8AAAAAAAAAAQAgAAAAIgAAAGRycy9kb3ducmV2&#10;LnhtbFBLAQIUABQAAAAIAIdO4kA0m/lLbwIAANoEAAAOAAAAAAAAAAEAIAAAACYBAABkcnMvZTJv&#10;RG9jLnhtbFBLBQYAAAAABgAGAFkBAAAHBgAAAAA=&#10;">
                <v:fill on="f" focussize="0,0"/>
                <v:stroke weight="1pt" color="#000000 [3213]" miterlimit="8" joinstyle="miter"/>
                <v:imagedata o:title=""/>
                <o:lock v:ext="edit" aspectratio="f"/>
                <v:textbox>
                  <w:txbxContent>
                    <w:p w14:paraId="554E5C1D">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管理层不允许函证</w:t>
                      </w:r>
                    </w:p>
                    <w:p w14:paraId="59EB8571">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w:t>
                      </w:r>
                      <w:r>
                        <w:rPr>
                          <w:rFonts w:hint="eastAsia" w:asciiTheme="minorEastAsia" w:hAnsiTheme="minorEastAsia" w:cstheme="minorEastAsia"/>
                          <w:sz w:val="15"/>
                          <w:szCs w:val="15"/>
                        </w:rPr>
                        <w:t>合理理由</w:t>
                      </w:r>
                    </w:p>
                  </w:txbxContent>
                </v:textbox>
              </v:rect>
            </w:pict>
          </mc:Fallback>
        </mc:AlternateContent>
      </w:r>
    </w:p>
    <w:p w14:paraId="0D57A691">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28896" behindDoc="0" locked="0" layoutInCell="1" allowOverlap="1">
                <wp:simplePos x="0" y="0"/>
                <wp:positionH relativeFrom="column">
                  <wp:posOffset>228600</wp:posOffset>
                </wp:positionH>
                <wp:positionV relativeFrom="paragraph">
                  <wp:posOffset>33655</wp:posOffset>
                </wp:positionV>
                <wp:extent cx="1846580" cy="3795395"/>
                <wp:effectExtent l="245745" t="7620" r="3175" b="45085"/>
                <wp:wrapNone/>
                <wp:docPr id="226" name="肘形连接符 226"/>
                <wp:cNvGraphicFramePr/>
                <a:graphic xmlns:a="http://schemas.openxmlformats.org/drawingml/2006/main">
                  <a:graphicData uri="http://schemas.microsoft.com/office/word/2010/wordprocessingShape">
                    <wps:wsp>
                      <wps:cNvCnPr/>
                      <wps:spPr>
                        <a:xfrm rot="10800000" flipH="1" flipV="1">
                          <a:off x="1167765" y="2868930"/>
                          <a:ext cx="1846580" cy="3795395"/>
                        </a:xfrm>
                        <a:prstGeom prst="bentConnector3">
                          <a:avLst>
                            <a:gd name="adj1" fmla="val -12895"/>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 y;margin-left:18pt;margin-top:2.65pt;height:298.85pt;width:145.4pt;rotation:11796480f;z-index:251728896;mso-width-relative:page;mso-height-relative:page;" filled="f" stroked="t" coordsize="21600,21600" o:gfxdata="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&#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v05o2AAAAAgBAAAPAAAAAAAAAAEAIAAAACIAAABk&#10;cnMvZG93bnJldi54bWxQSwECFAAUAAAACACHTuJACSvgoz8CAAA/BAAADgAAAAAAAAABACAAAAAn&#10;AQAAZHJzL2Uyb0RvYy54bWxQSwUGAAAAAAYABgBZAQAA2AUAAAAA&#10;" adj="-2785">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2038985</wp:posOffset>
                </wp:positionH>
                <wp:positionV relativeFrom="paragraph">
                  <wp:posOffset>267970</wp:posOffset>
                </wp:positionV>
                <wp:extent cx="1431290" cy="217805"/>
                <wp:effectExtent l="6350" t="6350" r="10160" b="23495"/>
                <wp:wrapNone/>
                <wp:docPr id="194" name="矩形 194"/>
                <wp:cNvGraphicFramePr/>
                <a:graphic xmlns:a="http://schemas.openxmlformats.org/drawingml/2006/main">
                  <a:graphicData uri="http://schemas.microsoft.com/office/word/2010/wordprocessingShape">
                    <wps:wsp>
                      <wps:cNvSpPr/>
                      <wps:spPr>
                        <a:xfrm>
                          <a:off x="0" y="0"/>
                          <a:ext cx="1431290" cy="21780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794A598D">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4.</w:t>
                            </w:r>
                            <w:r>
                              <w:rPr>
                                <w:rFonts w:hint="eastAsia" w:asciiTheme="minorEastAsia" w:hAnsiTheme="minorEastAsia" w:cstheme="minorEastAsia"/>
                                <w:sz w:val="15"/>
                                <w:szCs w:val="18"/>
                              </w:rPr>
                              <w:t>核对被函证单位信息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55pt;margin-top:21.1pt;height:17.15pt;width:112.7pt;z-index:251709440;v-text-anchor:middle;mso-width-relative:page;mso-height-relative:page;" filled="f" stroked="t" coordsize="21600,21600" o:gfxdata="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wtIN52AAAAAkBAAAPAAAAAAAAAAEAIAAAACIAAABkcnMvZG93bnJl&#10;di54bWxQSwECFAAUAAAACACHTuJAHWWnUG8CAADaBAAADgAAAAAAAAABACAAAAAnAQAAZHJzL2Uy&#10;b0RvYy54bWxQSwUGAAAAAAYABgBZAQAACAYAAAAA&#10;">
                <v:fill on="f" focussize="0,0"/>
                <v:stroke weight="1pt" color="#000000 [3213]" miterlimit="8" joinstyle="miter"/>
                <v:imagedata o:title=""/>
                <o:lock v:ext="edit" aspectratio="f"/>
                <v:textbox>
                  <w:txbxContent>
                    <w:p w14:paraId="794A598D">
                      <w:pPr>
                        <w:spacing w:line="160" w:lineRule="exact"/>
                        <w:jc w:val="center"/>
                        <w:rPr>
                          <w:rFonts w:asciiTheme="minorEastAsia" w:hAnsiTheme="minorEastAsia" w:cstheme="minorEastAsia"/>
                          <w:sz w:val="15"/>
                          <w:szCs w:val="15"/>
                        </w:rPr>
                      </w:pPr>
                      <w:r>
                        <w:rPr>
                          <w:rFonts w:asciiTheme="minorEastAsia" w:hAnsiTheme="minorEastAsia" w:cstheme="minorEastAsia"/>
                          <w:sz w:val="15"/>
                          <w:szCs w:val="15"/>
                        </w:rPr>
                        <w:t>4.</w:t>
                      </w:r>
                      <w:r>
                        <w:rPr>
                          <w:rFonts w:hint="eastAsia" w:asciiTheme="minorEastAsia" w:hAnsiTheme="minorEastAsia" w:cstheme="minorEastAsia"/>
                          <w:sz w:val="15"/>
                          <w:szCs w:val="18"/>
                        </w:rPr>
                        <w:t>核对被函证单位信息</w:t>
                      </w:r>
                    </w:p>
                  </w:txbxContent>
                </v:textbox>
              </v:rect>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2798445</wp:posOffset>
                </wp:positionH>
                <wp:positionV relativeFrom="paragraph">
                  <wp:posOffset>161925</wp:posOffset>
                </wp:positionV>
                <wp:extent cx="0" cy="112395"/>
                <wp:effectExtent l="38100" t="0" r="38100" b="1905"/>
                <wp:wrapNone/>
                <wp:docPr id="193" name="直接箭头连接符 193"/>
                <wp:cNvGraphicFramePr/>
                <a:graphic xmlns:a="http://schemas.openxmlformats.org/drawingml/2006/main">
                  <a:graphicData uri="http://schemas.microsoft.com/office/word/2010/wordprocessingShape">
                    <wps:wsp>
                      <wps:cNvCnPr/>
                      <wps:spPr>
                        <a:xfrm>
                          <a:off x="0" y="0"/>
                          <a:ext cx="0" cy="11239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35pt;margin-top:12.75pt;height:8.85pt;width:0pt;z-index:251708416;mso-width-relative:page;mso-height-relative:page;" filled="f" stroked="t" coordsize="21600,21600" o:gfxdata="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T889YAAAAJAQAADwAAAAAAAAABACAAAAAiAAAAZHJz&#10;L2Rvd25yZXYueG1sUEsBAhQAFAAAAAgAh07iQFMWCPAGAgAA5QMAAA4AAAAAAAAAAQAgAAAAJQEA&#10;AGRycy9lMm9Eb2MueG1sUEsFBgAAAAAGAAYAWQEAAJ0FAAAAAA==&#10;">
                <v:fill on="f" focussize="0,0"/>
                <v:stroke weight="1pt" color="#000000 [3213]" miterlimit="8" joinstyle="miter" endarrow="block"/>
                <v:imagedata o:title=""/>
                <o:lock v:ext="edit" aspectratio="f"/>
              </v:shape>
            </w:pict>
          </mc:Fallback>
        </mc:AlternateContent>
      </w:r>
    </w:p>
    <w:p w14:paraId="74998062">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11488" behindDoc="0" locked="0" layoutInCell="1" allowOverlap="1">
                <wp:simplePos x="0" y="0"/>
                <wp:positionH relativeFrom="column">
                  <wp:posOffset>2788920</wp:posOffset>
                </wp:positionH>
                <wp:positionV relativeFrom="paragraph">
                  <wp:posOffset>189230</wp:posOffset>
                </wp:positionV>
                <wp:extent cx="0" cy="112395"/>
                <wp:effectExtent l="38100" t="0" r="38100" b="1905"/>
                <wp:wrapNone/>
                <wp:docPr id="196" name="直接箭头连接符 196"/>
                <wp:cNvGraphicFramePr/>
                <a:graphic xmlns:a="http://schemas.openxmlformats.org/drawingml/2006/main">
                  <a:graphicData uri="http://schemas.microsoft.com/office/word/2010/wordprocessingShape">
                    <wps:wsp>
                      <wps:cNvCnPr/>
                      <wps:spPr>
                        <a:xfrm>
                          <a:off x="0" y="0"/>
                          <a:ext cx="0" cy="11239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9.6pt;margin-top:14.9pt;height:8.85pt;width:0pt;z-index:251711488;mso-width-relative:page;mso-height-relative:page;" filled="f" stroked="t" coordsize="21600,21600" o:gfxdata="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qHvDXAAAACQEAAA8AAAAAAAAAAQAgAAAAIgAAAGRy&#10;cy9kb3ducmV2LnhtbFBLAQIUABQAAAAIAIdO4kBbPLuZBgIAAOUDAAAOAAAAAAAAAAEAIAAAACYB&#10;AABkcnMvZTJvRG9jLnhtbFBLBQYAAAAABgAGAFkBAACeBQAAAAA=&#10;">
                <v:fill on="f" focussize="0,0"/>
                <v:stroke weight="1pt" color="#000000 [3213]" miterlimit="8" joinstyle="miter" endarrow="block"/>
                <v:imagedata o:title=""/>
                <o:lock v:ext="edit" aspectratio="f"/>
              </v:shape>
            </w:pict>
          </mc:Fallback>
        </mc:AlternateContent>
      </w:r>
    </w:p>
    <w:p w14:paraId="51996265">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15584" behindDoc="0" locked="0" layoutInCell="1" allowOverlap="1">
                <wp:simplePos x="0" y="0"/>
                <wp:positionH relativeFrom="column">
                  <wp:posOffset>255905</wp:posOffset>
                </wp:positionH>
                <wp:positionV relativeFrom="paragraph">
                  <wp:posOffset>246380</wp:posOffset>
                </wp:positionV>
                <wp:extent cx="1532890" cy="695960"/>
                <wp:effectExtent l="6350" t="6350" r="22860" b="21590"/>
                <wp:wrapNone/>
                <wp:docPr id="204" name="流程图: 终止 204"/>
                <wp:cNvGraphicFramePr/>
                <a:graphic xmlns:a="http://schemas.openxmlformats.org/drawingml/2006/main">
                  <a:graphicData uri="http://schemas.microsoft.com/office/word/2010/wordprocessingShape">
                    <wps:wsp>
                      <wps:cNvSpPr/>
                      <wps:spPr>
                        <a:xfrm>
                          <a:off x="0" y="0"/>
                          <a:ext cx="1532890" cy="695960"/>
                        </a:xfrm>
                        <a:prstGeom prst="flowChartTerminator">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7A6F2D9">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发函控制：7.1邮寄方式</w:t>
                            </w:r>
                          </w:p>
                          <w:p w14:paraId="29D516BE">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7.2跟函方式</w:t>
                            </w:r>
                          </w:p>
                          <w:p w14:paraId="7D56AA5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7.3电子询证函平台</w:t>
                            </w:r>
                          </w:p>
                          <w:p w14:paraId="0C278803">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7.4其他电子形式</w:t>
                            </w:r>
                          </w:p>
                          <w:p w14:paraId="054CC35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0.15pt;margin-top:19.4pt;height:54.8pt;width:120.7pt;z-index:251715584;v-text-anchor:middle;mso-width-relative:page;mso-height-relative:page;" filled="f" stroked="t" coordsize="21600,21600" o:gfxdata="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SHGcbWAAAACQEA&#10;AA8AAAAAAAAAAQAgAAAAIgAAAGRycy9kb3ducmV2LnhtbFBLAQIUABQAAAAIAIdO4kBKnvMmjgIA&#10;APQEAAAOAAAAAAAAAAEAIAAAACUBAABkcnMvZTJvRG9jLnhtbFBLBQYAAAAABgAGAFkBAAAlBgAA&#10;AAA=&#10;">
                <v:fill on="f" focussize="0,0"/>
                <v:stroke weight="1pt" color="#000000 [3213]" miterlimit="8" joinstyle="miter"/>
                <v:imagedata o:title=""/>
                <o:lock v:ext="edit" aspectratio="f"/>
                <v:textbox>
                  <w:txbxContent>
                    <w:p w14:paraId="67A6F2D9">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发函控制：7.1邮寄方式</w:t>
                      </w:r>
                    </w:p>
                    <w:p w14:paraId="29D516BE">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7.2跟函方式</w:t>
                      </w:r>
                    </w:p>
                    <w:p w14:paraId="7D56AA5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7.3电子询证函平台</w:t>
                      </w:r>
                    </w:p>
                    <w:p w14:paraId="0C278803">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7.4其他电子形式</w:t>
                      </w:r>
                    </w:p>
                    <w:p w14:paraId="054CC354">
                      <w:pPr>
                        <w:jc w:val="center"/>
                      </w:pPr>
                    </w:p>
                  </w:txbxContent>
                </v:textbox>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2037715</wp:posOffset>
                </wp:positionH>
                <wp:positionV relativeFrom="paragraph">
                  <wp:posOffset>12065</wp:posOffset>
                </wp:positionV>
                <wp:extent cx="1445260" cy="228600"/>
                <wp:effectExtent l="6350" t="6350" r="15240" b="12700"/>
                <wp:wrapNone/>
                <wp:docPr id="154" name="矩形 154"/>
                <wp:cNvGraphicFramePr/>
                <a:graphic xmlns:a="http://schemas.openxmlformats.org/drawingml/2006/main">
                  <a:graphicData uri="http://schemas.microsoft.com/office/word/2010/wordprocessingShape">
                    <wps:wsp>
                      <wps:cNvSpPr/>
                      <wps:spPr>
                        <a:xfrm>
                          <a:off x="0" y="0"/>
                          <a:ext cx="1445260" cy="228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1AFEA8FD">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5.</w:t>
                            </w:r>
                            <w:r>
                              <w:rPr>
                                <w:rFonts w:hint="eastAsia" w:asciiTheme="minorEastAsia" w:hAnsiTheme="minorEastAsia" w:cstheme="minorEastAsia"/>
                                <w:sz w:val="15"/>
                                <w:szCs w:val="15"/>
                              </w:rPr>
                              <w:t>编制询证函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45pt;margin-top:0.95pt;height:18pt;width:113.8pt;z-index:251691008;v-text-anchor:middle;mso-width-relative:page;mso-height-relative:page;" filled="f" stroked="t" coordsize="21600,21600" o:gfxdata="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yWMm51gAAAAgBAAAPAAAAAAAAAAEAIAAAACIAAABkcnMvZG93bnJldi54&#10;bWxQSwECFAAUAAAACACHTuJAZOf/jW4CAADaBAAADgAAAAAAAAABACAAAAAlAQAAZHJzL2Uyb0Rv&#10;Yy54bWxQSwUGAAAAAAYABgBZAQAABQYAAAAA&#10;">
                <v:fill on="f" focussize="0,0"/>
                <v:stroke weight="1pt" color="#000000 [3213]" miterlimit="8" joinstyle="miter"/>
                <v:imagedata o:title=""/>
                <o:lock v:ext="edit" aspectratio="f"/>
                <v:textbox>
                  <w:txbxContent>
                    <w:p w14:paraId="1AFEA8FD">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5.</w:t>
                      </w:r>
                      <w:r>
                        <w:rPr>
                          <w:rFonts w:hint="eastAsia" w:asciiTheme="minorEastAsia" w:hAnsiTheme="minorEastAsia" w:cstheme="minorEastAsia"/>
                          <w:sz w:val="15"/>
                          <w:szCs w:val="15"/>
                        </w:rPr>
                        <w:t>编制询证函</w:t>
                      </w:r>
                    </w:p>
                  </w:txbxContent>
                </v:textbox>
              </v: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2781935</wp:posOffset>
                </wp:positionH>
                <wp:positionV relativeFrom="paragraph">
                  <wp:posOffset>264160</wp:posOffset>
                </wp:positionV>
                <wp:extent cx="3810" cy="104775"/>
                <wp:effectExtent l="35560" t="0" r="36830" b="9525"/>
                <wp:wrapNone/>
                <wp:docPr id="153" name="直接箭头连接符 153"/>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9.05pt;margin-top:20.8pt;height:8.25pt;width:0.3pt;z-index:251695104;mso-width-relative:page;mso-height-relative:page;" filled="f" stroked="t" coordsize="21600,21600" o:gfxdata="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FvV9UAAAAJAQAADwAAAAAAAAABACAA&#10;AAAiAAAAZHJzL2Rvd25yZXYueG1sUEsBAhQAFAAAAAgAh07iQBEZ6rUQAgAA8gMAAA4AAAAAAAAA&#10;AQAgAAAAJAEAAGRycy9lMm9Eb2MueG1sUEsFBgAAAAAGAAYAWQEAAKYFAAAAAA==&#10;">
                <v:fill on="f" focussize="0,0"/>
                <v:stroke weight="1pt" color="#000000 [3213]" miterlimit="8" joinstyle="miter" endarrow="block"/>
                <v:imagedata o:title=""/>
                <o:lock v:ext="edit" aspectratio="f"/>
              </v:shape>
            </w:pict>
          </mc:Fallback>
        </mc:AlternateContent>
      </w:r>
    </w:p>
    <w:p w14:paraId="1677FE5B">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2038985</wp:posOffset>
                </wp:positionH>
                <wp:positionV relativeFrom="paragraph">
                  <wp:posOffset>67310</wp:posOffset>
                </wp:positionV>
                <wp:extent cx="1452880" cy="219075"/>
                <wp:effectExtent l="6350" t="6350" r="7620" b="22225"/>
                <wp:wrapNone/>
                <wp:docPr id="152" name="矩形 152"/>
                <wp:cNvGraphicFramePr/>
                <a:graphic xmlns:a="http://schemas.openxmlformats.org/drawingml/2006/main">
                  <a:graphicData uri="http://schemas.microsoft.com/office/word/2010/wordprocessingShape">
                    <wps:wsp>
                      <wps:cNvSpPr/>
                      <wps:spPr>
                        <a:xfrm>
                          <a:off x="0" y="0"/>
                          <a:ext cx="145288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E79107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6.</w:t>
                            </w:r>
                            <w:r>
                              <w:rPr>
                                <w:rFonts w:hint="eastAsia" w:asciiTheme="minorEastAsia" w:hAnsiTheme="minorEastAsia" w:cstheme="minorEastAsia"/>
                                <w:sz w:val="15"/>
                                <w:szCs w:val="15"/>
                              </w:rPr>
                              <w:t>打印询证函并盖章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55pt;margin-top:5.3pt;height:17.25pt;width:114.4pt;z-index:251692032;v-text-anchor:middle;mso-width-relative:page;mso-height-relative:page;" filled="f" stroked="t" coordsize="21600,21600" o:gfxdata="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OoMDa2AAAAAkBAAAPAAAAAAAAAAEAIAAAACIAAABkcnMvZG93bnJl&#10;di54bWxQSwECFAAUAAAACACHTuJAovadqW8CAADaBAAADgAAAAAAAAABACAAAAAnAQAAZHJzL2Uy&#10;b0RvYy54bWxQSwUGAAAAAAYABgBZAQAACAYAAAAA&#10;">
                <v:fill on="f" focussize="0,0"/>
                <v:stroke weight="1pt" color="#000000 [3213]" miterlimit="8" joinstyle="miter"/>
                <v:imagedata o:title=""/>
                <o:lock v:ext="edit" aspectratio="f"/>
                <v:textbox>
                  <w:txbxContent>
                    <w:p w14:paraId="5E79107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6.</w:t>
                      </w:r>
                      <w:r>
                        <w:rPr>
                          <w:rFonts w:hint="eastAsia" w:asciiTheme="minorEastAsia" w:hAnsiTheme="minorEastAsia" w:cstheme="minorEastAsia"/>
                          <w:sz w:val="15"/>
                          <w:szCs w:val="15"/>
                        </w:rPr>
                        <w:t>打印询证函并盖章</w:t>
                      </w:r>
                    </w:p>
                  </w:txbxContent>
                </v:textbox>
              </v:rect>
            </w:pict>
          </mc:Fallback>
        </mc:AlternateContent>
      </w:r>
    </w:p>
    <w:p w14:paraId="7584E15E">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40160" behindDoc="0" locked="0" layoutInCell="1" allowOverlap="1">
                <wp:simplePos x="0" y="0"/>
                <wp:positionH relativeFrom="column">
                  <wp:posOffset>1760220</wp:posOffset>
                </wp:positionH>
                <wp:positionV relativeFrom="paragraph">
                  <wp:posOffset>190500</wp:posOffset>
                </wp:positionV>
                <wp:extent cx="285750" cy="10160"/>
                <wp:effectExtent l="0" t="35560" r="0" b="30480"/>
                <wp:wrapNone/>
                <wp:docPr id="4" name="直接箭头连接符 4"/>
                <wp:cNvGraphicFramePr/>
                <a:graphic xmlns:a="http://schemas.openxmlformats.org/drawingml/2006/main">
                  <a:graphicData uri="http://schemas.microsoft.com/office/word/2010/wordprocessingShape">
                    <wps:wsp>
                      <wps:cNvCnPr/>
                      <wps:spPr>
                        <a:xfrm flipH="1" flipV="1">
                          <a:off x="0" y="0"/>
                          <a:ext cx="285750" cy="10160"/>
                        </a:xfrm>
                        <a:prstGeom prst="straightConnector1">
                          <a:avLst/>
                        </a:prstGeom>
                        <a:ln>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38.6pt;margin-top:15pt;height:0.8pt;width:22.5pt;z-index:251740160;mso-width-relative:page;mso-height-relative:page;" filled="f" stroked="t" coordsize="21600,21600" o:gfxdata="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PaAw1wAAAAkBAAAPAAAA&#10;AAAAAAEAIAAAACIAAABkcnMvZG93bnJldi54bWxQSwECFAAUAAAACACHTuJAyE2XURYCAAD7AwAA&#10;DgAAAAAAAAABACAAAAAmAQAAZHJzL2Uyb0RvYy54bWxQSwUGAAAAAAYABgBZAQAArgUAAAAA&#10;">
                <v:fill on="f" focussize="0,0"/>
                <v:stroke weight="1pt" color="#000000 [3213]" miterlimit="8" joinstyle="miter" dashstyle="3 1" endarrow="block"/>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2046605</wp:posOffset>
                </wp:positionH>
                <wp:positionV relativeFrom="paragraph">
                  <wp:posOffset>105410</wp:posOffset>
                </wp:positionV>
                <wp:extent cx="1454150" cy="220980"/>
                <wp:effectExtent l="6350" t="6350" r="6350" b="20320"/>
                <wp:wrapNone/>
                <wp:docPr id="150" name="矩形 150"/>
                <wp:cNvGraphicFramePr/>
                <a:graphic xmlns:a="http://schemas.openxmlformats.org/drawingml/2006/main">
                  <a:graphicData uri="http://schemas.microsoft.com/office/word/2010/wordprocessingShape">
                    <wps:wsp>
                      <wps:cNvSpPr/>
                      <wps:spPr>
                        <a:xfrm>
                          <a:off x="0" y="0"/>
                          <a:ext cx="1454150" cy="22098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862B87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7.</w:t>
                            </w:r>
                            <w:r>
                              <w:rPr>
                                <w:rFonts w:hint="eastAsia" w:asciiTheme="minorEastAsia" w:hAnsiTheme="minorEastAsia" w:cstheme="minorEastAsia"/>
                                <w:sz w:val="15"/>
                                <w:szCs w:val="15"/>
                              </w:rPr>
                              <w:t>发出询证函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15pt;margin-top:8.3pt;height:17.4pt;width:114.5pt;z-index:251693056;v-text-anchor:middle;mso-width-relative:page;mso-height-relative:page;" filled="f" stroked="t" coordsize="21600,21600" o:gfxdata="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5Bab1wAAAAkBAAAPAAAAAAAAAAEAIAAAACIAAABkcnMvZG93bnJldi54&#10;bWxQSwECFAAUAAAACACHTuJAHQzLcm0CAADaBAAADgAAAAAAAAABACAAAAAmAQAAZHJzL2Uyb0Rv&#10;Yy54bWxQSwUGAAAAAAYABgBZAQAABQYAAAAA&#10;">
                <v:fill on="f" focussize="0,0"/>
                <v:stroke weight="1pt" color="#000000 [3213]" miterlimit="8" joinstyle="miter"/>
                <v:imagedata o:title=""/>
                <o:lock v:ext="edit" aspectratio="f"/>
                <v:textbox>
                  <w:txbxContent>
                    <w:p w14:paraId="4862B876">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7.</w:t>
                      </w:r>
                      <w:r>
                        <w:rPr>
                          <w:rFonts w:hint="eastAsia" w:asciiTheme="minorEastAsia" w:hAnsiTheme="minorEastAsia" w:cstheme="minorEastAsia"/>
                          <w:sz w:val="15"/>
                          <w:szCs w:val="15"/>
                        </w:rPr>
                        <w:t>发出询证函</w:t>
                      </w:r>
                    </w:p>
                  </w:txbxContent>
                </v:textbox>
              </v:rect>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2781935</wp:posOffset>
                </wp:positionH>
                <wp:positionV relativeFrom="paragraph">
                  <wp:posOffset>5080</wp:posOffset>
                </wp:positionV>
                <wp:extent cx="3810" cy="104775"/>
                <wp:effectExtent l="35560" t="0" r="36830" b="9525"/>
                <wp:wrapNone/>
                <wp:docPr id="195" name="直接箭头连接符 195"/>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9.05pt;margin-top:0.4pt;height:8.25pt;width:0.3pt;z-index:251710464;mso-width-relative:page;mso-height-relative:page;" filled="f" stroked="t" coordsize="21600,21600" o:gfxdata="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5ZLGdIAAAAHAQAADwAAAAAAAAABACAAAAAi&#10;AAAAZHJzL2Rvd25yZXYueG1sUEsBAhQAFAAAAAgAh07iQMi6s9UQAgAA8gMAAA4AAAAAAAAAAQAg&#10;AAAAIQEAAGRycy9lMm9Eb2MueG1sUEsFBgAAAAAGAAYAWQEAAKMFAAAAAA==&#10;">
                <v:fill on="f" focussize="0,0"/>
                <v:stroke weight="1pt" color="#000000 [3213]" miterlimit="8" joinstyle="miter" endarrow="block"/>
                <v:imagedata o:title=""/>
                <o:lock v:ext="edit" aspectratio="f"/>
              </v:shape>
            </w:pict>
          </mc:Fallback>
        </mc:AlternateContent>
      </w:r>
    </w:p>
    <w:p w14:paraId="544DCD4A">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16608" behindDoc="0" locked="0" layoutInCell="1" allowOverlap="1">
                <wp:simplePos x="0" y="0"/>
                <wp:positionH relativeFrom="column">
                  <wp:posOffset>255905</wp:posOffset>
                </wp:positionH>
                <wp:positionV relativeFrom="paragraph">
                  <wp:posOffset>128905</wp:posOffset>
                </wp:positionV>
                <wp:extent cx="1532890" cy="695960"/>
                <wp:effectExtent l="6350" t="6350" r="22860" b="21590"/>
                <wp:wrapNone/>
                <wp:docPr id="205" name="流程图: 终止 205"/>
                <wp:cNvGraphicFramePr/>
                <a:graphic xmlns:a="http://schemas.openxmlformats.org/drawingml/2006/main">
                  <a:graphicData uri="http://schemas.microsoft.com/office/word/2010/wordprocessingShape">
                    <wps:wsp>
                      <wps:cNvSpPr/>
                      <wps:spPr>
                        <a:xfrm>
                          <a:off x="0" y="0"/>
                          <a:ext cx="1532890" cy="695960"/>
                        </a:xfrm>
                        <a:prstGeom prst="flowChartTerminator">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09BDA06">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回函控制：8.1邮寄方式</w:t>
                            </w:r>
                          </w:p>
                          <w:p w14:paraId="042D23E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8.2跟函方式</w:t>
                            </w:r>
                          </w:p>
                          <w:p w14:paraId="5618249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8.3电子询证函平台</w:t>
                            </w:r>
                          </w:p>
                          <w:p w14:paraId="045B86E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8.4其他电子形式</w:t>
                            </w:r>
                          </w:p>
                          <w:p w14:paraId="6582F8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0.15pt;margin-top:10.15pt;height:54.8pt;width:120.7pt;z-index:251716608;v-text-anchor:middle;mso-width-relative:page;mso-height-relative:page;" filled="f" stroked="t" coordsize="21600,21600" o:gfxdata="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pKRx3WAAAACQEA&#10;AA8AAAAAAAAAAQAgAAAAIgAAAGRycy9kb3ducmV2LnhtbFBLAQIUABQAAAAIAIdO4kBpycmvjgIA&#10;APQEAAAOAAAAAAAAAAEAIAAAACUBAABkcnMvZTJvRG9jLnhtbFBLBQYAAAAABgAGAFkBAAAlBgAA&#10;AAA=&#10;">
                <v:fill on="f" focussize="0,0"/>
                <v:stroke weight="1pt" color="#000000 [3213]" miterlimit="8" joinstyle="miter"/>
                <v:imagedata o:title=""/>
                <o:lock v:ext="edit" aspectratio="f"/>
                <v:textbox>
                  <w:txbxContent>
                    <w:p w14:paraId="409BDA06">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回函控制：8.1邮寄方式</w:t>
                      </w:r>
                    </w:p>
                    <w:p w14:paraId="042D23EF">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8.2跟函方式</w:t>
                      </w:r>
                    </w:p>
                    <w:p w14:paraId="5618249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8.3电子询证函平台</w:t>
                      </w:r>
                    </w:p>
                    <w:p w14:paraId="045B86EC">
                      <w:pPr>
                        <w:spacing w:line="160" w:lineRule="exact"/>
                        <w:jc w:val="center"/>
                        <w:rPr>
                          <w:rFonts w:asciiTheme="minorEastAsia" w:hAnsiTheme="minorEastAsia" w:cstheme="minorEastAsia"/>
                          <w:sz w:val="15"/>
                          <w:szCs w:val="15"/>
                        </w:rPr>
                      </w:pPr>
                      <w:r>
                        <w:rPr>
                          <w:rFonts w:hint="eastAsia" w:asciiTheme="minorEastAsia" w:hAnsiTheme="minorEastAsia" w:cstheme="minorEastAsia"/>
                          <w:sz w:val="15"/>
                          <w:szCs w:val="15"/>
                        </w:rPr>
                        <w:t>8.4其他电子形式</w:t>
                      </w:r>
                    </w:p>
                    <w:p w14:paraId="6582F8E8">
                      <w:pPr>
                        <w:jc w:val="center"/>
                      </w:pPr>
                    </w:p>
                  </w:txbxContent>
                </v:textbox>
              </v:shape>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1760220</wp:posOffset>
                </wp:positionH>
                <wp:positionV relativeFrom="paragraph">
                  <wp:posOffset>284480</wp:posOffset>
                </wp:positionV>
                <wp:extent cx="285750" cy="10160"/>
                <wp:effectExtent l="0" t="35560" r="0" b="30480"/>
                <wp:wrapNone/>
                <wp:docPr id="244" name="直接箭头连接符 244"/>
                <wp:cNvGraphicFramePr/>
                <a:graphic xmlns:a="http://schemas.openxmlformats.org/drawingml/2006/main">
                  <a:graphicData uri="http://schemas.microsoft.com/office/word/2010/wordprocessingShape">
                    <wps:wsp>
                      <wps:cNvCnPr/>
                      <wps:spPr>
                        <a:xfrm flipH="1" flipV="1">
                          <a:off x="0" y="0"/>
                          <a:ext cx="285750" cy="10160"/>
                        </a:xfrm>
                        <a:prstGeom prst="straightConnector1">
                          <a:avLst/>
                        </a:prstGeom>
                        <a:ln>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38.6pt;margin-top:22.4pt;height:0.8pt;width:22.5pt;z-index:251734016;mso-width-relative:page;mso-height-relative:page;" filled="f" stroked="t" coordsize="21600,21600" o:gfxdata="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0BHMTWAAAACQEAAA8A&#10;AAAAAAAAAQAgAAAAIgAAAGRycy9kb3ducmV2LnhtbFBLAQIUABQAAAAIAIdO4kAW19wwGQIAAP8D&#10;AAAOAAAAAAAAAAEAIAAAACUBAABkcnMvZTJvRG9jLnhtbFBLBQYAAAAABgAGAFkBAACwBQAAAAA=&#10;">
                <v:fill on="f" focussize="0,0"/>
                <v:stroke weight="1pt" color="#000000 [3213]" miterlimit="8" joinstyle="miter" dashstyle="3 1" endarrow="block"/>
                <v:imagedata o:title=""/>
                <o:lock v:ext="edit" aspectratio="f"/>
              </v:shap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2055495</wp:posOffset>
                </wp:positionH>
                <wp:positionV relativeFrom="paragraph">
                  <wp:posOffset>146050</wp:posOffset>
                </wp:positionV>
                <wp:extent cx="1455420" cy="229235"/>
                <wp:effectExtent l="6350" t="6350" r="24130" b="12065"/>
                <wp:wrapNone/>
                <wp:docPr id="203" name="矩形 203"/>
                <wp:cNvGraphicFramePr/>
                <a:graphic xmlns:a="http://schemas.openxmlformats.org/drawingml/2006/main">
                  <a:graphicData uri="http://schemas.microsoft.com/office/word/2010/wordprocessingShape">
                    <wps:wsp>
                      <wps:cNvSpPr/>
                      <wps:spPr>
                        <a:xfrm>
                          <a:off x="0" y="0"/>
                          <a:ext cx="1455420" cy="22923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06AA9DD8">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8.</w:t>
                            </w:r>
                            <w:r>
                              <w:rPr>
                                <w:rFonts w:hint="eastAsia" w:asciiTheme="minorEastAsia" w:hAnsiTheme="minorEastAsia" w:cstheme="minorEastAsia"/>
                                <w:sz w:val="15"/>
                                <w:szCs w:val="15"/>
                              </w:rPr>
                              <w:t>收回询证函</w:t>
                            </w:r>
                            <w:r>
                              <w:rPr>
                                <w:rFonts w:asciiTheme="minorEastAsia" w:hAnsiTheme="minorEastAsia" w:cstheme="minorEastAsia"/>
                                <w:sz w:val="15"/>
                                <w:szCs w:val="15"/>
                              </w:rPr>
                              <w:t>(回函控制)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85pt;margin-top:11.5pt;height:18.05pt;width:114.6pt;z-index:251714560;v-text-anchor:middle;mso-width-relative:page;mso-height-relative:page;" filled="f" stroked="t" coordsize="21600,21600" o:gfxdata="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75E1wAAAAkBAAAPAAAAAAAAAAEAIAAAACIAAABkcnMvZG93bnJl&#10;di54bWxQSwECFAAUAAAACACHTuJAQJenCnACAADaBAAADgAAAAAAAAABACAAAAAmAQAAZHJzL2Uy&#10;b0RvYy54bWxQSwUGAAAAAAYABgBZAQAACAYAAAAA&#10;">
                <v:fill on="f" focussize="0,0"/>
                <v:stroke weight="1pt" color="#000000 [3213]" miterlimit="8" joinstyle="miter"/>
                <v:imagedata o:title=""/>
                <o:lock v:ext="edit" aspectratio="f"/>
                <v:textbox>
                  <w:txbxContent>
                    <w:p w14:paraId="06AA9DD8">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8.</w:t>
                      </w:r>
                      <w:r>
                        <w:rPr>
                          <w:rFonts w:hint="eastAsia" w:asciiTheme="minorEastAsia" w:hAnsiTheme="minorEastAsia" w:cstheme="minorEastAsia"/>
                          <w:sz w:val="15"/>
                          <w:szCs w:val="15"/>
                        </w:rPr>
                        <w:t>收回询证函</w:t>
                      </w:r>
                      <w:r>
                        <w:rPr>
                          <w:rFonts w:asciiTheme="minorEastAsia" w:hAnsiTheme="minorEastAsia" w:cstheme="minorEastAsia"/>
                          <w:sz w:val="15"/>
                          <w:szCs w:val="15"/>
                        </w:rPr>
                        <w:t>(回函控制)</w:t>
                      </w:r>
                    </w:p>
                  </w:txbxContent>
                </v:textbox>
              </v:rect>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2783840</wp:posOffset>
                </wp:positionH>
                <wp:positionV relativeFrom="paragraph">
                  <wp:posOffset>43180</wp:posOffset>
                </wp:positionV>
                <wp:extent cx="3810" cy="104775"/>
                <wp:effectExtent l="35560" t="0" r="36830" b="9525"/>
                <wp:wrapNone/>
                <wp:docPr id="151" name="直接箭头连接符 151"/>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9.2pt;margin-top:3.4pt;height:8.25pt;width:0.3pt;z-index:251696128;mso-width-relative:page;mso-height-relative:page;" filled="f" stroked="t" coordsize="21600,21600" o:gfxdata="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DUoZtUAAAAIAQAADwAAAAAAAAABACAA&#10;AAAiAAAAZHJzL2Rvd25yZXYueG1sUEsBAhQAFAAAAAgAh07iQGlv5p4QAgAA8gMAAA4AAAAAAAAA&#10;AQAgAAAAJAEAAGRycy9lMm9Eb2MueG1sUEsFBgAAAAAGAAYAWQEAAKYFAAAAAA==&#10;">
                <v:fill on="f" focussize="0,0"/>
                <v:stroke weight="1pt" color="#000000 [3213]" miterlimit="8" joinstyle="miter" endarrow="block"/>
                <v:imagedata o:title=""/>
                <o:lock v:ext="edit" aspectratio="f"/>
              </v:shape>
            </w:pict>
          </mc:Fallback>
        </mc:AlternateContent>
      </w:r>
    </w:p>
    <w:p w14:paraId="403A2930">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17632" behindDoc="0" locked="0" layoutInCell="1" allowOverlap="1">
                <wp:simplePos x="0" y="0"/>
                <wp:positionH relativeFrom="column">
                  <wp:posOffset>2055495</wp:posOffset>
                </wp:positionH>
                <wp:positionV relativeFrom="paragraph">
                  <wp:posOffset>226695</wp:posOffset>
                </wp:positionV>
                <wp:extent cx="1475740" cy="229870"/>
                <wp:effectExtent l="6350" t="6350" r="22860" b="11430"/>
                <wp:wrapNone/>
                <wp:docPr id="206" name="矩形 206"/>
                <wp:cNvGraphicFramePr/>
                <a:graphic xmlns:a="http://schemas.openxmlformats.org/drawingml/2006/main">
                  <a:graphicData uri="http://schemas.microsoft.com/office/word/2010/wordprocessingShape">
                    <wps:wsp>
                      <wps:cNvSpPr/>
                      <wps:spPr>
                        <a:xfrm>
                          <a:off x="0" y="0"/>
                          <a:ext cx="1475740" cy="22987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4FA0F5A">
                            <w:pPr>
                              <w:spacing w:line="180" w:lineRule="exact"/>
                              <w:jc w:val="center"/>
                              <w:rPr>
                                <w:rFonts w:asciiTheme="minorEastAsia" w:hAnsiTheme="minorEastAsia" w:cstheme="minorEastAsia"/>
                                <w:sz w:val="13"/>
                                <w:szCs w:val="13"/>
                              </w:rPr>
                            </w:pPr>
                            <w:r>
                              <w:rPr>
                                <w:rFonts w:asciiTheme="minorEastAsia" w:hAnsiTheme="minorEastAsia" w:cstheme="minorEastAsia"/>
                                <w:sz w:val="13"/>
                                <w:szCs w:val="13"/>
                              </w:rPr>
                              <w:t>9.</w:t>
                            </w:r>
                            <w:r>
                              <w:rPr>
                                <w:rFonts w:hint="eastAsia" w:asciiTheme="minorEastAsia" w:hAnsiTheme="minorEastAsia" w:cstheme="minorEastAsia"/>
                                <w:sz w:val="13"/>
                                <w:szCs w:val="13"/>
                              </w:rPr>
                              <w:t>函证结果评价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85pt;margin-top:17.85pt;height:18.1pt;width:116.2pt;z-index:251717632;v-text-anchor:middle;mso-width-relative:page;mso-height-relative:page;" filled="f" stroked="t" coordsize="21600,21600" o:gfxdata="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W+vldgAAAAJAQAADwAAAAAAAAABACAAAAAiAAAAZHJzL2Rvd25y&#10;ZXYueG1sUEsBAhQAFAAAAAgAh07iQF8sj7NwAgAA2gQAAA4AAAAAAAAAAQAgAAAAJwEAAGRycy9l&#10;Mm9Eb2MueG1sUEsFBgAAAAAGAAYAWQEAAAkGAAAAAA==&#10;">
                <v:fill on="f" focussize="0,0"/>
                <v:stroke weight="1pt" color="#000000 [3213]" miterlimit="8" joinstyle="miter"/>
                <v:imagedata o:title=""/>
                <o:lock v:ext="edit" aspectratio="f"/>
                <v:textbox>
                  <w:txbxContent>
                    <w:p w14:paraId="44FA0F5A">
                      <w:pPr>
                        <w:spacing w:line="180" w:lineRule="exact"/>
                        <w:jc w:val="center"/>
                        <w:rPr>
                          <w:rFonts w:asciiTheme="minorEastAsia" w:hAnsiTheme="minorEastAsia" w:cstheme="minorEastAsia"/>
                          <w:sz w:val="13"/>
                          <w:szCs w:val="13"/>
                        </w:rPr>
                      </w:pPr>
                      <w:r>
                        <w:rPr>
                          <w:rFonts w:asciiTheme="minorEastAsia" w:hAnsiTheme="minorEastAsia" w:cstheme="minorEastAsia"/>
                          <w:sz w:val="13"/>
                          <w:szCs w:val="13"/>
                        </w:rPr>
                        <w:t>9.</w:t>
                      </w:r>
                      <w:r>
                        <w:rPr>
                          <w:rFonts w:hint="eastAsia" w:asciiTheme="minorEastAsia" w:hAnsiTheme="minorEastAsia" w:cstheme="minorEastAsia"/>
                          <w:sz w:val="13"/>
                          <w:szCs w:val="13"/>
                        </w:rPr>
                        <w:t>函证结果评价</w:t>
                      </w:r>
                    </w:p>
                  </w:txbxContent>
                </v:textbox>
              </v:rect>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2782570</wp:posOffset>
                </wp:positionH>
                <wp:positionV relativeFrom="paragraph">
                  <wp:posOffset>108585</wp:posOffset>
                </wp:positionV>
                <wp:extent cx="3810" cy="104775"/>
                <wp:effectExtent l="35560" t="0" r="36830" b="9525"/>
                <wp:wrapNone/>
                <wp:docPr id="138" name="直接箭头连接符 138"/>
                <wp:cNvGraphicFramePr/>
                <a:graphic xmlns:a="http://schemas.openxmlformats.org/drawingml/2006/main">
                  <a:graphicData uri="http://schemas.microsoft.com/office/word/2010/wordprocessingShape">
                    <wps:wsp>
                      <wps:cNvCnPr/>
                      <wps:spPr>
                        <a:xfrm flipH="1">
                          <a:off x="0" y="0"/>
                          <a:ext cx="3810" cy="10477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9.1pt;margin-top:8.55pt;height:8.25pt;width:0.3pt;z-index:251698176;mso-width-relative:page;mso-height-relative:page;" filled="f" stroked="t" coordsize="21600,21600" o:gfxdata="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SF7idUAAAAJAQAADwAAAAAAAAABACAA&#10;AAAiAAAAZHJzL2Rvd25yZXYueG1sUEsBAhQAFAAAAAgAh07iQD2ST8QQAgAA8gMAAA4AAAAAAAAA&#10;AQAgAAAAJAEAAGRycy9lMm9Eb2MueG1sUEsFBgAAAAAGAAYAWQEAAKYFA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29920" behindDoc="0" locked="0" layoutInCell="1" allowOverlap="1">
                <wp:simplePos x="0" y="0"/>
                <wp:positionH relativeFrom="column">
                  <wp:posOffset>3500755</wp:posOffset>
                </wp:positionH>
                <wp:positionV relativeFrom="paragraph">
                  <wp:posOffset>-377190</wp:posOffset>
                </wp:positionV>
                <wp:extent cx="1133475" cy="2327910"/>
                <wp:effectExtent l="0" t="7620" r="257175" b="45720"/>
                <wp:wrapNone/>
                <wp:docPr id="227" name="肘形连接符 227"/>
                <wp:cNvGraphicFramePr/>
                <a:graphic xmlns:a="http://schemas.openxmlformats.org/drawingml/2006/main">
                  <a:graphicData uri="http://schemas.microsoft.com/office/word/2010/wordprocessingShape">
                    <wps:wsp>
                      <wps:cNvCnPr/>
                      <wps:spPr>
                        <a:xfrm>
                          <a:off x="4107815" y="4545330"/>
                          <a:ext cx="1133475" cy="2327910"/>
                        </a:xfrm>
                        <a:prstGeom prst="bentConnector3">
                          <a:avLst>
                            <a:gd name="adj1" fmla="val 121008"/>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75.65pt;margin-top:-29.7pt;height:183.3pt;width:89.25pt;z-index:251729920;mso-width-relative:page;mso-height-relative:page;" filled="f" stroked="t" coordsize="21600,21600" o:gfxdata="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iCYw3bAAAACwEAAA8AAAAAAAAAAQAgAAAAIgAAAGRycy9kb3ducmV2LnhtbFBL&#10;AQIUABQAAAAIAIdO4kCZXZH4LAIAABwEAAAOAAAAAAAAAAEAIAAAACoBAABkcnMvZTJvRG9jLnht&#10;bFBLBQYAAAAABgAGAFkBAADIBQAAAAA=&#10;" adj="26138">
                <v:fill on="f" focussize="0,0"/>
                <v:stroke weight="1.25pt" color="#000000 [3213]" miterlimit="8" joinstyle="miter" endarrow="block"/>
                <v:imagedata o:title=""/>
                <o:lock v:ext="edit" aspectratio="f"/>
              </v:shape>
            </w:pict>
          </mc:Fallback>
        </mc:AlternateContent>
      </w:r>
    </w:p>
    <w:p w14:paraId="527C46DB">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19680" behindDoc="0" locked="0" layoutInCell="1" allowOverlap="1">
                <wp:simplePos x="0" y="0"/>
                <wp:positionH relativeFrom="column">
                  <wp:posOffset>3157855</wp:posOffset>
                </wp:positionH>
                <wp:positionV relativeFrom="paragraph">
                  <wp:posOffset>-210185</wp:posOffset>
                </wp:positionV>
                <wp:extent cx="200025" cy="957580"/>
                <wp:effectExtent l="6350" t="0" r="45720" b="9525"/>
                <wp:wrapNone/>
                <wp:docPr id="208" name="肘形连接符 208"/>
                <wp:cNvGraphicFramePr/>
                <a:graphic xmlns:a="http://schemas.openxmlformats.org/drawingml/2006/main">
                  <a:graphicData uri="http://schemas.microsoft.com/office/word/2010/wordprocessingShape">
                    <wps:wsp>
                      <wps:cNvCnPr/>
                      <wps:spPr>
                        <a:xfrm rot="5400000" flipV="1">
                          <a:off x="0" y="0"/>
                          <a:ext cx="200025" cy="957580"/>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48.65pt;margin-top:-16.55pt;height:75.4pt;width:15.75pt;rotation:-5898240f;z-index:251719680;mso-width-relative:page;mso-height-relative:page;" filled="f" stroked="t" coordsize="21600,21600" o:gfxdata="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PHZPZAAAACwEAAA8AAAAAAAAAAQAgAAAAIgAAAGRycy9kb3ducmV2LnhtbFBLAQIU&#10;ABQAAAAIAIdO4kBxx4oTKwIAACUEAAAOAAAAAAAAAAEAIAAAACgBAABkcnMvZTJvRG9jLnhtbFBL&#10;BQYAAAAABgAGAFkBAADFBQAA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2226310</wp:posOffset>
                </wp:positionH>
                <wp:positionV relativeFrom="paragraph">
                  <wp:posOffset>-184150</wp:posOffset>
                </wp:positionV>
                <wp:extent cx="200025" cy="904875"/>
                <wp:effectExtent l="38100" t="0" r="9525" b="9525"/>
                <wp:wrapNone/>
                <wp:docPr id="207" name="肘形连接符 207"/>
                <wp:cNvGraphicFramePr/>
                <a:graphic xmlns:a="http://schemas.openxmlformats.org/drawingml/2006/main">
                  <a:graphicData uri="http://schemas.microsoft.com/office/word/2010/wordprocessingShape">
                    <wps:wsp>
                      <wps:cNvCnPr/>
                      <wps:spPr>
                        <a:xfrm rot="5400000">
                          <a:off x="0" y="0"/>
                          <a:ext cx="200025" cy="904875"/>
                        </a:xfrm>
                        <a:prstGeom prst="bentConnector3">
                          <a:avLst>
                            <a:gd name="adj1" fmla="val 50159"/>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75.3pt;margin-top:-14.5pt;height:71.25pt;width:15.75pt;rotation:5898240f;z-index:251718656;mso-width-relative:page;mso-height-relative:page;" filled="f" stroked="t" coordsize="21600,21600" o:gfxdata="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5tIw7bAAAACwEAAA8AAAAAAAAAAQAgAAAAIgAAAGRycy9kb3ducmV2LnhtbFBLAQIUABQA&#10;AAAIAIdO4kAmyk8GJgIAABsEAAAOAAAAAAAAAAEAIAAAACoBAABkcnMvZTJvRG9jLnhtbFBLBQYA&#10;AAAABgAGAFkBAADCBQAAAAA=&#10;" adj="10834">
                <v:fill on="f" focussize="0,0"/>
                <v:stroke weight="1pt" color="#000000 [3213]" miterlimit="8" joinstyle="miter" endarrow="block"/>
                <v:imagedata o:title=""/>
                <o:lock v:ext="edit" aspectratio="f"/>
              </v:shape>
            </w:pict>
          </mc:Fallback>
        </mc:AlternateContent>
      </w:r>
    </w:p>
    <w:p w14:paraId="0C12E4DB">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36064" behindDoc="0" locked="0" layoutInCell="1" allowOverlap="1">
                <wp:simplePos x="0" y="0"/>
                <wp:positionH relativeFrom="column">
                  <wp:posOffset>4011930</wp:posOffset>
                </wp:positionH>
                <wp:positionV relativeFrom="paragraph">
                  <wp:posOffset>285750</wp:posOffset>
                </wp:positionV>
                <wp:extent cx="5715" cy="205105"/>
                <wp:effectExtent l="34290" t="0" r="36195" b="4445"/>
                <wp:wrapNone/>
                <wp:docPr id="254" name="直接箭头连接符 254"/>
                <wp:cNvGraphicFramePr/>
                <a:graphic xmlns:a="http://schemas.openxmlformats.org/drawingml/2006/main">
                  <a:graphicData uri="http://schemas.microsoft.com/office/word/2010/wordprocessingShape">
                    <wps:wsp>
                      <wps:cNvCnPr/>
                      <wps:spPr>
                        <a:xfrm>
                          <a:off x="4703445" y="5758815"/>
                          <a:ext cx="5715" cy="205105"/>
                        </a:xfrm>
                        <a:prstGeom prst="straightConnector1">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15.9pt;margin-top:22.5pt;height:16.15pt;width:0.45pt;z-index:251736064;mso-width-relative:page;mso-height-relative:page;" filled="f" stroked="t" coordsize="21600,21600" o:gfxdata="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Fkwf2QAAAAkBAAAP&#10;AAAAAAAAAAEAIAAAACIAAABkcnMvZG93bnJldi54bWxQSwECFAAUAAAACACHTuJAGR3sYxcCAAD0&#10;AwAADgAAAAAAAAABACAAAAAoAQAAZHJzL2Uyb0RvYy54bWxQSwUGAAAAAAYABgBZAQAAsQUAAAAA&#10;">
                <v:fill on="f" focussize="0,0"/>
                <v:stroke weight="1.25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3456305</wp:posOffset>
                </wp:positionH>
                <wp:positionV relativeFrom="paragraph">
                  <wp:posOffset>66675</wp:posOffset>
                </wp:positionV>
                <wp:extent cx="1111250" cy="219075"/>
                <wp:effectExtent l="6350" t="6350" r="6350" b="22225"/>
                <wp:wrapNone/>
                <wp:docPr id="210" name="矩形 210"/>
                <wp:cNvGraphicFramePr/>
                <a:graphic xmlns:a="http://schemas.openxmlformats.org/drawingml/2006/main">
                  <a:graphicData uri="http://schemas.microsoft.com/office/word/2010/wordprocessingShape">
                    <wps:wsp>
                      <wps:cNvSpPr/>
                      <wps:spPr>
                        <a:xfrm>
                          <a:off x="0" y="0"/>
                          <a:ext cx="111125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D808B60">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9.2</w:t>
                            </w:r>
                            <w:r>
                              <w:rPr>
                                <w:rFonts w:hint="eastAsia" w:asciiTheme="minorEastAsia" w:hAnsiTheme="minorEastAsia" w:cstheme="minorEastAsia"/>
                                <w:sz w:val="15"/>
                                <w:szCs w:val="15"/>
                              </w:rPr>
                              <w:t>未收到回函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15pt;margin-top:5.25pt;height:17.25pt;width:87.5pt;z-index:251721728;v-text-anchor:middle;mso-width-relative:page;mso-height-relative:page;" filled="f" stroked="t" coordsize="21600,21600" o:gfxdata="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KV15Z1wAAAAkBAAAPAAAAAAAAAAEAIAAAACIAAABkcnMvZG93bnJldi54&#10;bWxQSwECFAAUAAAACACHTuJAql1yGG0CAADaBAAADgAAAAAAAAABACAAAAAmAQAAZHJzL2Uyb0Rv&#10;Yy54bWxQSwUGAAAAAAYABgBZAQAABQYAAAAA&#10;">
                <v:fill on="f" focussize="0,0"/>
                <v:stroke weight="1pt" color="#000000 [3213]" miterlimit="8" joinstyle="miter"/>
                <v:imagedata o:title=""/>
                <o:lock v:ext="edit" aspectratio="f"/>
                <v:textbox>
                  <w:txbxContent>
                    <w:p w14:paraId="4D808B60">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9.2</w:t>
                      </w:r>
                      <w:r>
                        <w:rPr>
                          <w:rFonts w:hint="eastAsia" w:asciiTheme="minorEastAsia" w:hAnsiTheme="minorEastAsia" w:cstheme="minorEastAsia"/>
                          <w:sz w:val="15"/>
                          <w:szCs w:val="15"/>
                        </w:rPr>
                        <w:t>未收到回函</w:t>
                      </w:r>
                    </w:p>
                  </w:txbxContent>
                </v:textbox>
              </v:rect>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1256030</wp:posOffset>
                </wp:positionH>
                <wp:positionV relativeFrom="paragraph">
                  <wp:posOffset>76200</wp:posOffset>
                </wp:positionV>
                <wp:extent cx="1139825" cy="228600"/>
                <wp:effectExtent l="6350" t="6350" r="15875" b="12700"/>
                <wp:wrapNone/>
                <wp:docPr id="209" name="矩形 209"/>
                <wp:cNvGraphicFramePr/>
                <a:graphic xmlns:a="http://schemas.openxmlformats.org/drawingml/2006/main">
                  <a:graphicData uri="http://schemas.microsoft.com/office/word/2010/wordprocessingShape">
                    <wps:wsp>
                      <wps:cNvSpPr/>
                      <wps:spPr>
                        <a:xfrm>
                          <a:off x="0" y="0"/>
                          <a:ext cx="1139825" cy="228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3D4891DF">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9.1收</w:t>
                            </w:r>
                            <w:r>
                              <w:rPr>
                                <w:rFonts w:hint="eastAsia" w:asciiTheme="minorEastAsia" w:hAnsiTheme="minorEastAsia" w:cstheme="minorEastAsia"/>
                                <w:sz w:val="15"/>
                                <w:szCs w:val="15"/>
                              </w:rPr>
                              <w:t>到回函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9pt;margin-top:6pt;height:18pt;width:89.75pt;z-index:251720704;v-text-anchor:middle;mso-width-relative:page;mso-height-relative:page;" filled="f" stroked="t" coordsize="21600,21600" o:gfxdata="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rRpVtcAAAAJAQAADwAAAAAAAAABACAAAAAiAAAAZHJzL2Rvd25y&#10;ZXYueG1sUEsBAhQAFAAAAAgAh07iQGtkI+hxAgAA2gQAAA4AAAAAAAAAAQAgAAAAJgEAAGRycy9l&#10;Mm9Eb2MueG1sUEsFBgAAAAAGAAYAWQEAAAkGAAAAAA==&#10;">
                <v:fill on="f" focussize="0,0"/>
                <v:stroke weight="1pt" color="#000000 [3213]" miterlimit="8" joinstyle="miter"/>
                <v:imagedata o:title=""/>
                <o:lock v:ext="edit" aspectratio="f"/>
                <v:textbox>
                  <w:txbxContent>
                    <w:p w14:paraId="3D4891DF">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9.1收</w:t>
                      </w:r>
                      <w:r>
                        <w:rPr>
                          <w:rFonts w:hint="eastAsia" w:asciiTheme="minorEastAsia" w:hAnsiTheme="minorEastAsia" w:cstheme="minorEastAsia"/>
                          <w:sz w:val="15"/>
                          <w:szCs w:val="15"/>
                        </w:rPr>
                        <w:t>到回函</w:t>
                      </w:r>
                    </w:p>
                  </w:txbxContent>
                </v:textbox>
              </v:rect>
            </w:pict>
          </mc:Fallback>
        </mc:AlternateContent>
      </w:r>
    </w:p>
    <w:p w14:paraId="0386F2D6">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25824" behindDoc="0" locked="0" layoutInCell="1" allowOverlap="1">
                <wp:simplePos x="0" y="0"/>
                <wp:positionH relativeFrom="column">
                  <wp:posOffset>3446780</wp:posOffset>
                </wp:positionH>
                <wp:positionV relativeFrom="paragraph">
                  <wp:posOffset>198755</wp:posOffset>
                </wp:positionV>
                <wp:extent cx="1130300" cy="219075"/>
                <wp:effectExtent l="6350" t="6350" r="6350" b="22225"/>
                <wp:wrapNone/>
                <wp:docPr id="215" name="矩形 215"/>
                <wp:cNvGraphicFramePr/>
                <a:graphic xmlns:a="http://schemas.openxmlformats.org/drawingml/2006/main">
                  <a:graphicData uri="http://schemas.microsoft.com/office/word/2010/wordprocessingShape">
                    <wps:wsp>
                      <wps:cNvSpPr/>
                      <wps:spPr>
                        <a:xfrm>
                          <a:off x="0" y="0"/>
                          <a:ext cx="113030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4BC6EA2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w:t>
                            </w:r>
                            <w:r>
                              <w:rPr>
                                <w:rFonts w:hint="eastAsia" w:asciiTheme="minorEastAsia" w:hAnsiTheme="minorEastAsia" w:cstheme="minorEastAsia"/>
                                <w:sz w:val="15"/>
                                <w:szCs w:val="15"/>
                              </w:rPr>
                              <w:t>采取应对措施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4pt;margin-top:15.65pt;height:17.25pt;width:89pt;z-index:251725824;v-text-anchor:middle;mso-width-relative:page;mso-height-relative:page;" filled="f" stroked="t" coordsize="21600,21600" o:gfxdata="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aOxbtgAAAAJAQAADwAAAAAAAAABACAAAAAiAAAAZHJzL2Rvd25y&#10;ZXYueG1sUEsBAhQAFAAAAAgAh07iQMyN0pJwAgAA2gQAAA4AAAAAAAAAAQAgAAAAJwEAAGRycy9l&#10;Mm9Eb2MueG1sUEsFBgAAAAAGAAYAWQEAAAkGAAAAAA==&#10;">
                <v:fill on="f" focussize="0,0"/>
                <v:stroke weight="1pt" color="#000000 [3213]" miterlimit="8" joinstyle="miter"/>
                <v:imagedata o:title=""/>
                <o:lock v:ext="edit" aspectratio="f"/>
                <v:textbox>
                  <w:txbxContent>
                    <w:p w14:paraId="4BC6EA2C">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w:t>
                      </w:r>
                      <w:r>
                        <w:rPr>
                          <w:rFonts w:hint="eastAsia" w:asciiTheme="minorEastAsia" w:hAnsiTheme="minorEastAsia" w:cstheme="minorEastAsia"/>
                          <w:sz w:val="15"/>
                          <w:szCs w:val="15"/>
                        </w:rPr>
                        <w:t>采取应对措施</w:t>
                      </w:r>
                    </w:p>
                  </w:txbxContent>
                </v:textbox>
              </v:rect>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1723390</wp:posOffset>
                </wp:positionH>
                <wp:positionV relativeFrom="paragraph">
                  <wp:posOffset>217805</wp:posOffset>
                </wp:positionV>
                <wp:extent cx="1292860" cy="220345"/>
                <wp:effectExtent l="6350" t="6350" r="15240" b="20955"/>
                <wp:wrapNone/>
                <wp:docPr id="214" name="矩形 214"/>
                <wp:cNvGraphicFramePr/>
                <a:graphic xmlns:a="http://schemas.openxmlformats.org/drawingml/2006/main">
                  <a:graphicData uri="http://schemas.microsoft.com/office/word/2010/wordprocessingShape">
                    <wps:wsp>
                      <wps:cNvSpPr/>
                      <wps:spPr>
                        <a:xfrm>
                          <a:off x="0" y="0"/>
                          <a:ext cx="1292860" cy="22034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7C71F14E">
                            <w:pPr>
                              <w:spacing w:line="180" w:lineRule="exact"/>
                              <w:jc w:val="center"/>
                              <w:rPr>
                                <w:rFonts w:asciiTheme="minorEastAsia" w:hAnsiTheme="minorEastAsia" w:cstheme="minorEastAsia"/>
                                <w:sz w:val="13"/>
                                <w:szCs w:val="13"/>
                              </w:rPr>
                            </w:pPr>
                            <w:r>
                              <w:rPr>
                                <w:rFonts w:asciiTheme="minorEastAsia" w:hAnsiTheme="minorEastAsia" w:cstheme="minorEastAsia"/>
                                <w:sz w:val="13"/>
                                <w:szCs w:val="13"/>
                              </w:rPr>
                              <w:t>9.1.2</w:t>
                            </w:r>
                            <w:r>
                              <w:rPr>
                                <w:rFonts w:hint="eastAsia" w:asciiTheme="minorEastAsia" w:hAnsiTheme="minorEastAsia" w:cstheme="minorEastAsia"/>
                                <w:sz w:val="13"/>
                                <w:szCs w:val="13"/>
                              </w:rPr>
                              <w:t>核对不符或不完全相符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7pt;margin-top:17.15pt;height:17.35pt;width:101.8pt;z-index:251724800;v-text-anchor:middle;mso-width-relative:page;mso-height-relative:page;" filled="f" stroked="t" coordsize="21600,21600" o:gfxdata="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aQ7K32AAAAAkBAAAPAAAAAAAAAAEAIAAAACIAAABkcnMvZG93bnJl&#10;di54bWxQSwECFAAUAAAACACHTuJAelU9BG8CAADaBAAADgAAAAAAAAABACAAAAAnAQAAZHJzL2Uy&#10;b0RvYy54bWxQSwUGAAAAAAYABgBZAQAACAYAAAAA&#10;">
                <v:fill on="f" focussize="0,0"/>
                <v:stroke weight="1pt" color="#000000 [3213]" miterlimit="8" joinstyle="miter"/>
                <v:imagedata o:title=""/>
                <o:lock v:ext="edit" aspectratio="f"/>
                <v:textbox>
                  <w:txbxContent>
                    <w:p w14:paraId="7C71F14E">
                      <w:pPr>
                        <w:spacing w:line="180" w:lineRule="exact"/>
                        <w:jc w:val="center"/>
                        <w:rPr>
                          <w:rFonts w:asciiTheme="minorEastAsia" w:hAnsiTheme="minorEastAsia" w:cstheme="minorEastAsia"/>
                          <w:sz w:val="13"/>
                          <w:szCs w:val="13"/>
                        </w:rPr>
                      </w:pPr>
                      <w:r>
                        <w:rPr>
                          <w:rFonts w:asciiTheme="minorEastAsia" w:hAnsiTheme="minorEastAsia" w:cstheme="minorEastAsia"/>
                          <w:sz w:val="13"/>
                          <w:szCs w:val="13"/>
                        </w:rPr>
                        <w:t>9.1.2</w:t>
                      </w:r>
                      <w:r>
                        <w:rPr>
                          <w:rFonts w:hint="eastAsia" w:asciiTheme="minorEastAsia" w:hAnsiTheme="minorEastAsia" w:cstheme="minorEastAsia"/>
                          <w:sz w:val="13"/>
                          <w:szCs w:val="13"/>
                        </w:rPr>
                        <w:t>核对不符或不完全相符</w:t>
                      </w:r>
                    </w:p>
                  </w:txbxContent>
                </v:textbox>
              </v:rect>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321945</wp:posOffset>
                </wp:positionH>
                <wp:positionV relativeFrom="paragraph">
                  <wp:posOffset>227330</wp:posOffset>
                </wp:positionV>
                <wp:extent cx="1129665" cy="219075"/>
                <wp:effectExtent l="6350" t="6350" r="6985" b="22225"/>
                <wp:wrapNone/>
                <wp:docPr id="213" name="矩形 213"/>
                <wp:cNvGraphicFramePr/>
                <a:graphic xmlns:a="http://schemas.openxmlformats.org/drawingml/2006/main">
                  <a:graphicData uri="http://schemas.microsoft.com/office/word/2010/wordprocessingShape">
                    <wps:wsp>
                      <wps:cNvSpPr/>
                      <wps:spPr>
                        <a:xfrm>
                          <a:off x="0" y="0"/>
                          <a:ext cx="1129665"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25E2002F">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9.1.1</w:t>
                            </w:r>
                            <w:r>
                              <w:rPr>
                                <w:rFonts w:hint="eastAsia" w:asciiTheme="minorEastAsia" w:hAnsiTheme="minorEastAsia" w:cstheme="minorEastAsia"/>
                                <w:sz w:val="15"/>
                                <w:szCs w:val="15"/>
                              </w:rPr>
                              <w:t>核对相符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5pt;margin-top:17.9pt;height:17.25pt;width:88.95pt;z-index:251723776;v-text-anchor:middle;mso-width-relative:page;mso-height-relative:page;" filled="f" stroked="t" coordsize="21600,21600" o:gfxdata="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gbfCdgAAAAIAQAADwAAAAAAAAABACAAAAAiAAAAZHJzL2Rvd25y&#10;ZXYueG1sUEsBAhQAFAAAAAgAh07iQKI1Q/JwAgAA2gQAAA4AAAAAAAAAAQAgAAAAJwEAAGRycy9l&#10;Mm9Eb2MueG1sUEsFBgAAAAAGAAYAWQEAAAkGAAAAAA==&#10;">
                <v:fill on="f" focussize="0,0"/>
                <v:stroke weight="1pt" color="#000000 [3213]" miterlimit="8" joinstyle="miter"/>
                <v:imagedata o:title=""/>
                <o:lock v:ext="edit" aspectratio="f"/>
                <v:textbox>
                  <w:txbxContent>
                    <w:p w14:paraId="25E2002F">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9.1.1</w:t>
                      </w:r>
                      <w:r>
                        <w:rPr>
                          <w:rFonts w:hint="eastAsia" w:asciiTheme="minorEastAsia" w:hAnsiTheme="minorEastAsia" w:cstheme="minorEastAsia"/>
                          <w:sz w:val="15"/>
                          <w:szCs w:val="15"/>
                        </w:rPr>
                        <w:t>核对相符</w:t>
                      </w:r>
                    </w:p>
                  </w:txbxContent>
                </v:textbox>
              </v:rect>
            </w:pict>
          </mc:Fallback>
        </mc:AlternateContent>
      </w:r>
      <w:r>
        <w:rPr>
          <w:sz w:val="24"/>
        </w:rPr>
        <mc:AlternateContent>
          <mc:Choice Requires="wps">
            <w:drawing>
              <wp:anchor distT="0" distB="0" distL="114300" distR="114300" simplePos="0" relativeHeight="251735040" behindDoc="0" locked="0" layoutInCell="1" allowOverlap="1">
                <wp:simplePos x="0" y="0"/>
                <wp:positionH relativeFrom="column">
                  <wp:posOffset>2233930</wp:posOffset>
                </wp:positionH>
                <wp:positionV relativeFrom="paragraph">
                  <wp:posOffset>-365125</wp:posOffset>
                </wp:positionV>
                <wp:extent cx="200025" cy="957580"/>
                <wp:effectExtent l="6350" t="0" r="45720" b="9525"/>
                <wp:wrapNone/>
                <wp:docPr id="250" name="肘形连接符 250"/>
                <wp:cNvGraphicFramePr/>
                <a:graphic xmlns:a="http://schemas.openxmlformats.org/drawingml/2006/main">
                  <a:graphicData uri="http://schemas.microsoft.com/office/word/2010/wordprocessingShape">
                    <wps:wsp>
                      <wps:cNvCnPr/>
                      <wps:spPr>
                        <a:xfrm rot="5400000" flipV="1">
                          <a:off x="0" y="0"/>
                          <a:ext cx="200025" cy="957580"/>
                        </a:xfrm>
                        <a:prstGeom prst="bentConnector3">
                          <a:avLst>
                            <a:gd name="adj1" fmla="val 50000"/>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75.9pt;margin-top:-28.75pt;height:75.4pt;width:15.75pt;rotation:-5898240f;z-index:251735040;mso-width-relative:page;mso-height-relative:page;" filled="f" stroked="t" coordsize="21600,21600" o:gfxdata="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52GYLZAAAACgEAAA8AAAAAAAAAAQAgAAAAIgAAAGRycy9kb3ducmV2LnhtbFBLAQIU&#10;ABQAAAAIAIdO4kAKubfRKwIAACUEAAAOAAAAAAAAAAEAIAAAACgBAABkcnMvZTJvRG9jLnhtbFBL&#10;BQYAAAAABgAGAFkBAADFBQAAAAA=&#10;" adj="1080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1302385</wp:posOffset>
                </wp:positionH>
                <wp:positionV relativeFrom="paragraph">
                  <wp:posOffset>-339090</wp:posOffset>
                </wp:positionV>
                <wp:extent cx="200025" cy="904875"/>
                <wp:effectExtent l="38100" t="0" r="9525" b="9525"/>
                <wp:wrapNone/>
                <wp:docPr id="211" name="肘形连接符 211"/>
                <wp:cNvGraphicFramePr/>
                <a:graphic xmlns:a="http://schemas.openxmlformats.org/drawingml/2006/main">
                  <a:graphicData uri="http://schemas.microsoft.com/office/word/2010/wordprocessingShape">
                    <wps:wsp>
                      <wps:cNvCnPr/>
                      <wps:spPr>
                        <a:xfrm rot="5400000">
                          <a:off x="0" y="0"/>
                          <a:ext cx="200025" cy="904875"/>
                        </a:xfrm>
                        <a:prstGeom prst="bentConnector3">
                          <a:avLst>
                            <a:gd name="adj1" fmla="val 50159"/>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02.55pt;margin-top:-26.7pt;height:71.25pt;width:15.75pt;rotation:5898240f;z-index:251722752;mso-width-relative:page;mso-height-relative:page;" filled="f" stroked="t" coordsize="21600,21600" o:gfxdata="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n3p8HbAAAACgEAAA8AAAAAAAAAAQAgAAAAIgAAAGRycy9kb3ducmV2LnhtbFBLAQIUABQA&#10;AAAIAIdO4kD7CqTwJgIAABsEAAAOAAAAAAAAAAEAIAAAACoBAABkcnMvZTJvRG9jLnhtbFBLBQYA&#10;AAAABgAGAFkBAADCBQAAAAA=&#10;" adj="10834">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37088" behindDoc="0" locked="0" layoutInCell="1" allowOverlap="1">
                <wp:simplePos x="0" y="0"/>
                <wp:positionH relativeFrom="column">
                  <wp:posOffset>1318895</wp:posOffset>
                </wp:positionH>
                <wp:positionV relativeFrom="paragraph">
                  <wp:posOffset>15240</wp:posOffset>
                </wp:positionV>
                <wp:extent cx="828675" cy="1691640"/>
                <wp:effectExtent l="8255" t="0" r="14605" b="257175"/>
                <wp:wrapNone/>
                <wp:docPr id="257" name="肘形连接符 257"/>
                <wp:cNvGraphicFramePr/>
                <a:graphic xmlns:a="http://schemas.openxmlformats.org/drawingml/2006/main">
                  <a:graphicData uri="http://schemas.microsoft.com/office/word/2010/wordprocessingShape">
                    <wps:wsp>
                      <wps:cNvCnPr/>
                      <wps:spPr>
                        <a:xfrm rot="5400000" flipV="1">
                          <a:off x="2439035" y="5631815"/>
                          <a:ext cx="828675" cy="1691640"/>
                        </a:xfrm>
                        <a:prstGeom prst="bentConnector3">
                          <a:avLst>
                            <a:gd name="adj1" fmla="val 128697"/>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103.85pt;margin-top:1.2pt;height:133.2pt;width:65.25pt;rotation:-5898240f;z-index:251737088;mso-width-relative:page;mso-height-relative:page;" filled="f" stroked="t" coordsize="21600,21600" o:gfxdata="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2qqHdYAAAAJAQAADwAAAAAAAAABACAAAAAiAAAAZHJzL2Rvd25yZXYueG1sUEsBAhQAFAAA&#10;AAgAh07iQGoiUJQqAgAAFwQAAA4AAAAAAAAAAQAgAAAAJQEAAGRycy9lMm9Eb2MueG1sUEsFBgAA&#10;AAAGAAYAWQEAAMEFAAAAAA==&#10;" adj="27799">
                <v:fill on="f" focussize="0,0"/>
                <v:stroke weight="1.25pt" color="#000000 [3213]" miterlimit="8" joinstyle="miter"/>
                <v:imagedata o:title=""/>
                <o:lock v:ext="edit" aspectratio="f"/>
              </v:shape>
            </w:pict>
          </mc:Fallback>
        </mc:AlternateContent>
      </w:r>
    </w:p>
    <w:p w14:paraId="237F0B42">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697152" behindDoc="0" locked="0" layoutInCell="1" allowOverlap="1">
                <wp:simplePos x="0" y="0"/>
                <wp:positionH relativeFrom="column">
                  <wp:posOffset>3027045</wp:posOffset>
                </wp:positionH>
                <wp:positionV relativeFrom="paragraph">
                  <wp:posOffset>31115</wp:posOffset>
                </wp:positionV>
                <wp:extent cx="419735" cy="9525"/>
                <wp:effectExtent l="0" t="36195" r="18415" b="30480"/>
                <wp:wrapNone/>
                <wp:docPr id="141" name="直接箭头连接符 141"/>
                <wp:cNvGraphicFramePr/>
                <a:graphic xmlns:a="http://schemas.openxmlformats.org/drawingml/2006/main">
                  <a:graphicData uri="http://schemas.microsoft.com/office/word/2010/wordprocessingShape">
                    <wps:wsp>
                      <wps:cNvCnPr/>
                      <wps:spPr>
                        <a:xfrm flipV="1">
                          <a:off x="3869690" y="9168765"/>
                          <a:ext cx="419735" cy="9525"/>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38.35pt;margin-top:2.45pt;height:0.75pt;width:33.05pt;z-index:251697152;mso-width-relative:page;mso-height-relative:page;" filled="f" stroked="t" coordsize="21600,21600" o:gfxdata="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0Ff2dUAAAAH&#10;AQAADwAAAAAAAAABACAAAAAiAAAAZHJzL2Rvd25yZXYueG1sUEsBAhQAFAAAAAgAh07iQHPKGvcf&#10;AgAA/gMAAA4AAAAAAAAAAQAgAAAAJAEAAGRycy9lMm9Eb2MueG1sUEsFBgAAAAAGAAYAWQEAALUF&#10;AAAAAA==&#10;">
                <v:fill on="f" focussize="0,0"/>
                <v:stroke weight="1pt" color="#000000 [3213]"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-271145</wp:posOffset>
                </wp:positionV>
                <wp:extent cx="647700" cy="1433195"/>
                <wp:effectExtent l="38100" t="0" r="14605" b="0"/>
                <wp:wrapNone/>
                <wp:docPr id="15" name="肘形连接符 15"/>
                <wp:cNvGraphicFramePr/>
                <a:graphic xmlns:a="http://schemas.openxmlformats.org/drawingml/2006/main">
                  <a:graphicData uri="http://schemas.microsoft.com/office/word/2010/wordprocessingShape">
                    <wps:wsp>
                      <wps:cNvCnPr/>
                      <wps:spPr>
                        <a:xfrm rot="5400000">
                          <a:off x="3939540" y="5680075"/>
                          <a:ext cx="647700" cy="1433195"/>
                        </a:xfrm>
                        <a:prstGeom prst="bentConnector3">
                          <a:avLst>
                            <a:gd name="adj1" fmla="val 49951"/>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34pt;margin-top:-21.35pt;height:112.85pt;width:51pt;rotation:5898240f;z-index:251741184;mso-width-relative:page;mso-height-relative:page;" filled="f" stroked="t" coordsize="21600,21600" o:gfxdata="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t1XcPcAAAACwEAAA8AAAAAAAAAAQAgAAAAIgAAAGRycy9kb3ducmV2&#10;LnhtbFBLAQIUABQAAAAIAIdO4kBg43A0MQIAACYEAAAOAAAAAAAAAAEAIAAAACsBAABkcnMvZTJv&#10;RG9jLnhtbFBLBQYAAAAABgAGAFkBAADOBQAAAAA=&#10;" adj="10789">
                <v:fill on="f" focussize="0,0"/>
                <v:stroke weight="1.25pt" color="#000000 [3213]" miterlimit="8" joinstyle="miter" endarrow="block"/>
                <v:imagedata o:title=""/>
                <o:lock v:ext="edit" aspectratio="f"/>
              </v:shape>
            </w:pict>
          </mc:Fallback>
        </mc:AlternateContent>
      </w:r>
    </w:p>
    <w:p w14:paraId="27FC1F86">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42208" behindDoc="0" locked="0" layoutInCell="1" allowOverlap="1">
                <wp:simplePos x="0" y="0"/>
                <wp:positionH relativeFrom="column">
                  <wp:posOffset>3846195</wp:posOffset>
                </wp:positionH>
                <wp:positionV relativeFrom="paragraph">
                  <wp:posOffset>149860</wp:posOffset>
                </wp:positionV>
                <wp:extent cx="441960" cy="217805"/>
                <wp:effectExtent l="0" t="7620" r="53340" b="3175"/>
                <wp:wrapNone/>
                <wp:docPr id="35" name="肘形连接符 35"/>
                <wp:cNvGraphicFramePr/>
                <a:graphic xmlns:a="http://schemas.openxmlformats.org/drawingml/2006/main">
                  <a:graphicData uri="http://schemas.microsoft.com/office/word/2010/wordprocessingShape">
                    <wps:wsp>
                      <wps:cNvCnPr/>
                      <wps:spPr>
                        <a:xfrm>
                          <a:off x="4747260" y="6160135"/>
                          <a:ext cx="441960" cy="217805"/>
                        </a:xfrm>
                        <a:prstGeom prst="bentConnector2">
                          <a:avLst/>
                        </a:prstGeom>
                        <a:ln w="158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302.85pt;margin-top:11.8pt;height:17.15pt;width:34.8pt;z-index:251742208;mso-width-relative:page;mso-height-relative:page;" filled="f" stroked="t" coordsize="21600,21600" o:gfxdata="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wEbJtkAAAAJAQAADwAAAAAA&#10;AAABACAAAAAiAAAAZHJzL2Rvd25yZXYueG1sUEsBAhQAFAAAAAgAh07iQC56Yd0SAgAA6gMAAA4A&#10;AAAAAAAAAQAgAAAAKAEAAGRycy9lMm9Eb2MueG1sUEsFBgAAAAAGAAYAWQEAAKwFAAAAAA==&#10;">
                <v:fill on="f" focussize="0,0"/>
                <v:stroke weight="1.25pt" color="#000000 [3213]" miterlimit="8" joinstyle="miter" endarrow="block"/>
                <v:imagedata o:title=""/>
                <o:lock v:ext="edit" aspectratio="f"/>
              </v:shape>
            </w:pict>
          </mc:Fallback>
        </mc:AlternateContent>
      </w:r>
    </w:p>
    <w:p w14:paraId="3145E20F">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26848" behindDoc="0" locked="0" layoutInCell="1" allowOverlap="1">
                <wp:simplePos x="0" y="0"/>
                <wp:positionH relativeFrom="column">
                  <wp:posOffset>2075180</wp:posOffset>
                </wp:positionH>
                <wp:positionV relativeFrom="paragraph">
                  <wp:posOffset>176530</wp:posOffset>
                </wp:positionV>
                <wp:extent cx="1006475" cy="209550"/>
                <wp:effectExtent l="6350" t="6350" r="15875" b="12700"/>
                <wp:wrapNone/>
                <wp:docPr id="217" name="矩形 217"/>
                <wp:cNvGraphicFramePr/>
                <a:graphic xmlns:a="http://schemas.openxmlformats.org/drawingml/2006/main">
                  <a:graphicData uri="http://schemas.microsoft.com/office/word/2010/wordprocessingShape">
                    <wps:wsp>
                      <wps:cNvSpPr/>
                      <wps:spPr>
                        <a:xfrm>
                          <a:off x="0" y="0"/>
                          <a:ext cx="1006475" cy="20955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28FA15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9.3.1</w:t>
                            </w:r>
                            <w:r>
                              <w:rPr>
                                <w:rFonts w:hint="eastAsia" w:asciiTheme="minorEastAsia" w:hAnsiTheme="minorEastAsia" w:cstheme="minorEastAsia"/>
                                <w:sz w:val="15"/>
                                <w:szCs w:val="15"/>
                              </w:rPr>
                              <w:t>替代程序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4pt;margin-top:13.9pt;height:16.5pt;width:79.25pt;z-index:251726848;v-text-anchor:middle;mso-width-relative:page;mso-height-relative:page;" filled="f" stroked="t" coordsize="21600,21600" o:gfxdata="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FTX6bZAAAACQEAAA8AAAAAAAAAAQAgAAAAIgAAAGRycy9kb3du&#10;cmV2LnhtbFBLAQIUABQAAAAIAIdO4kCxgbBGcAIAANoEAAAOAAAAAAAAAAEAIAAAACgBAABkcnMv&#10;ZTJvRG9jLnhtbFBLBQYAAAAABgAGAFkBAAAKBgAAAAA=&#10;">
                <v:fill on="f" focussize="0,0"/>
                <v:stroke weight="1pt" color="#000000 [3213]" miterlimit="8" joinstyle="miter"/>
                <v:imagedata o:title=""/>
                <o:lock v:ext="edit" aspectratio="f"/>
                <v:textbox>
                  <w:txbxContent>
                    <w:p w14:paraId="628FA154">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9.3.1</w:t>
                      </w:r>
                      <w:r>
                        <w:rPr>
                          <w:rFonts w:hint="eastAsia" w:asciiTheme="minorEastAsia" w:hAnsiTheme="minorEastAsia" w:cstheme="minorEastAsia"/>
                          <w:sz w:val="15"/>
                          <w:szCs w:val="15"/>
                        </w:rPr>
                        <w:t>替代程序</w:t>
                      </w:r>
                    </w:p>
                  </w:txbxContent>
                </v:textbox>
              </v:rect>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3713480</wp:posOffset>
                </wp:positionH>
                <wp:positionV relativeFrom="paragraph">
                  <wp:posOffset>62230</wp:posOffset>
                </wp:positionV>
                <wp:extent cx="920750" cy="219075"/>
                <wp:effectExtent l="6350" t="6350" r="6350" b="22225"/>
                <wp:wrapNone/>
                <wp:docPr id="219" name="矩形 219"/>
                <wp:cNvGraphicFramePr/>
                <a:graphic xmlns:a="http://schemas.openxmlformats.org/drawingml/2006/main">
                  <a:graphicData uri="http://schemas.microsoft.com/office/word/2010/wordprocessingShape">
                    <wps:wsp>
                      <wps:cNvSpPr/>
                      <wps:spPr>
                        <a:xfrm>
                          <a:off x="0" y="0"/>
                          <a:ext cx="920750" cy="21907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9F5136F">
                            <w:pPr>
                              <w:spacing w:line="180" w:lineRule="exact"/>
                              <w:jc w:val="center"/>
                              <w:rPr>
                                <w:rFonts w:asciiTheme="minorEastAsia" w:hAnsiTheme="minorEastAsia" w:cstheme="minorEastAsia"/>
                                <w:sz w:val="16"/>
                                <w:szCs w:val="16"/>
                              </w:rPr>
                            </w:pPr>
                            <w:r>
                              <w:rPr>
                                <w:rFonts w:asciiTheme="minorEastAsia" w:hAnsiTheme="minorEastAsia" w:cstheme="minorEastAsia"/>
                                <w:sz w:val="15"/>
                                <w:szCs w:val="15"/>
                              </w:rPr>
                              <w:t>9.3.2</w:t>
                            </w:r>
                            <w:r>
                              <w:rPr>
                                <w:rFonts w:hint="eastAsia" w:asciiTheme="minorEastAsia" w:hAnsiTheme="minorEastAsia" w:cstheme="minorEastAsia"/>
                                <w:sz w:val="15"/>
                                <w:szCs w:val="15"/>
                              </w:rPr>
                              <w:t>再次发函</w:t>
                            </w:r>
                            <w:r>
                              <w:rPr>
                                <w:rFonts w:hint="eastAsia" w:asciiTheme="minorEastAsia" w:hAnsiTheme="minorEastAsia" w:cstheme="minorEastAsia"/>
                                <w:sz w:val="16"/>
                                <w:szCs w:val="16"/>
                              </w:rPr>
                              <w:t>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4pt;margin-top:4.9pt;height:17.25pt;width:72.5pt;z-index:251727872;v-text-anchor:middle;mso-width-relative:page;mso-height-relative:page;" filled="f" stroked="t" coordsize="21600,21600" o:gfxdata="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Pz0trXAAAACAEAAA8AAAAAAAAAAQAgAAAAIgAAAGRycy9kb3ducmV2Lnht&#10;bFBLAQIUABQAAAAIAIdO4kBauSewbAIAANkEAAAOAAAAAAAAAAEAIAAAACYBAABkcnMvZTJvRG9j&#10;LnhtbFBLBQYAAAAABgAGAFkBAAAEBgAAAAA=&#10;">
                <v:fill on="f" focussize="0,0"/>
                <v:stroke weight="1pt" color="#000000 [3213]" miterlimit="8" joinstyle="miter"/>
                <v:imagedata o:title=""/>
                <o:lock v:ext="edit" aspectratio="f"/>
                <v:textbox>
                  <w:txbxContent>
                    <w:p w14:paraId="69F5136F">
                      <w:pPr>
                        <w:spacing w:line="180" w:lineRule="exact"/>
                        <w:jc w:val="center"/>
                        <w:rPr>
                          <w:rFonts w:asciiTheme="minorEastAsia" w:hAnsiTheme="minorEastAsia" w:cstheme="minorEastAsia"/>
                          <w:sz w:val="16"/>
                          <w:szCs w:val="16"/>
                        </w:rPr>
                      </w:pPr>
                      <w:r>
                        <w:rPr>
                          <w:rFonts w:asciiTheme="minorEastAsia" w:hAnsiTheme="minorEastAsia" w:cstheme="minorEastAsia"/>
                          <w:sz w:val="15"/>
                          <w:szCs w:val="15"/>
                        </w:rPr>
                        <w:t>9.3.2</w:t>
                      </w:r>
                      <w:r>
                        <w:rPr>
                          <w:rFonts w:hint="eastAsia" w:asciiTheme="minorEastAsia" w:hAnsiTheme="minorEastAsia" w:cstheme="minorEastAsia"/>
                          <w:sz w:val="15"/>
                          <w:szCs w:val="15"/>
                        </w:rPr>
                        <w:t>再次发函</w:t>
                      </w:r>
                      <w:r>
                        <w:rPr>
                          <w:rFonts w:hint="eastAsia" w:asciiTheme="minorEastAsia" w:hAnsiTheme="minorEastAsia" w:cstheme="minorEastAsia"/>
                          <w:sz w:val="16"/>
                          <w:szCs w:val="16"/>
                        </w:rPr>
                        <w:t>序</w:t>
                      </w:r>
                    </w:p>
                  </w:txbxContent>
                </v:textbox>
              </v:rect>
            </w:pict>
          </mc:Fallback>
        </mc:AlternateContent>
      </w:r>
    </w:p>
    <w:p w14:paraId="1DDFF698">
      <w:pPr>
        <w:snapToGrid w:val="0"/>
        <w:spacing w:line="360" w:lineRule="auto"/>
        <w:ind w:firstLine="482" w:firstLineChars="200"/>
        <w:jc w:val="left"/>
        <w:outlineLvl w:val="2"/>
        <w:rPr>
          <w:rFonts w:asciiTheme="minorEastAsia" w:hAnsiTheme="minorEastAsia" w:cstheme="minorEastAsia"/>
          <w:b/>
          <w:bCs/>
          <w:sz w:val="24"/>
        </w:rPr>
      </w:pPr>
    </w:p>
    <w:p w14:paraId="67874A71">
      <w:pPr>
        <w:snapToGrid w:val="0"/>
        <w:spacing w:line="360" w:lineRule="auto"/>
        <w:ind w:firstLine="480" w:firstLineChars="200"/>
        <w:jc w:val="left"/>
        <w:outlineLvl w:val="2"/>
        <w:rPr>
          <w:rFonts w:asciiTheme="minorEastAsia" w:hAnsiTheme="minorEastAsia" w:cstheme="minorEastAsia"/>
          <w:b/>
          <w:bCs/>
          <w:sz w:val="24"/>
        </w:rPr>
      </w:pPr>
      <w:r>
        <w:rPr>
          <w:sz w:val="24"/>
        </w:rPr>
        <mc:AlternateContent>
          <mc:Choice Requires="wps">
            <w:drawing>
              <wp:anchor distT="0" distB="0" distL="114300" distR="114300" simplePos="0" relativeHeight="251732992" behindDoc="0" locked="0" layoutInCell="1" allowOverlap="1">
                <wp:simplePos x="0" y="0"/>
                <wp:positionH relativeFrom="column">
                  <wp:posOffset>1160780</wp:posOffset>
                </wp:positionH>
                <wp:positionV relativeFrom="paragraph">
                  <wp:posOffset>145415</wp:posOffset>
                </wp:positionV>
                <wp:extent cx="1082675" cy="220345"/>
                <wp:effectExtent l="6350" t="6350" r="15875" b="20955"/>
                <wp:wrapNone/>
                <wp:docPr id="243" name="矩形 243"/>
                <wp:cNvGraphicFramePr/>
                <a:graphic xmlns:a="http://schemas.openxmlformats.org/drawingml/2006/main">
                  <a:graphicData uri="http://schemas.microsoft.com/office/word/2010/wordprocessingShape">
                    <wps:wsp>
                      <wps:cNvSpPr/>
                      <wps:spPr>
                        <a:xfrm>
                          <a:off x="0" y="0"/>
                          <a:ext cx="1082675" cy="22034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85A0C5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9.4总体评价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4pt;margin-top:11.45pt;height:17.35pt;width:85.25pt;z-index:251732992;v-text-anchor:middle;mso-width-relative:page;mso-height-relative:page;" filled="f" stroked="t" coordsize="21600,21600" o:gfxdata="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Z3hH/YAAAACQEAAA8AAAAAAAAAAQAgAAAAIgAAAGRycy9kb3du&#10;cmV2LnhtbFBLAQIUABQAAAAIAIdO4kDinI8gcQIAANoEAAAOAAAAAAAAAAEAIAAAACcBAABkcnMv&#10;ZTJvRG9jLnhtbFBLBQYAAAAABgAGAFkBAAAKBgAAAAA=&#10;">
                <v:fill on="f" focussize="0,0"/>
                <v:stroke weight="1pt" color="#000000 [3213]" miterlimit="8" joinstyle="miter"/>
                <v:imagedata o:title=""/>
                <o:lock v:ext="edit" aspectratio="f"/>
                <v:textbox>
                  <w:txbxContent>
                    <w:p w14:paraId="585A0C53">
                      <w:pPr>
                        <w:spacing w:line="180" w:lineRule="exact"/>
                        <w:jc w:val="center"/>
                        <w:rPr>
                          <w:rFonts w:asciiTheme="minorEastAsia" w:hAnsiTheme="minorEastAsia" w:cstheme="minorEastAsia"/>
                          <w:sz w:val="15"/>
                          <w:szCs w:val="15"/>
                        </w:rPr>
                      </w:pPr>
                      <w:r>
                        <w:rPr>
                          <w:rFonts w:asciiTheme="minorEastAsia" w:hAnsiTheme="minorEastAsia" w:cstheme="minorEastAsia"/>
                          <w:sz w:val="15"/>
                          <w:szCs w:val="15"/>
                        </w:rPr>
                        <w:t>9.4总体评价</w:t>
                      </w:r>
                    </w:p>
                  </w:txbxContent>
                </v:textbox>
              </v:rect>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1715770</wp:posOffset>
                </wp:positionH>
                <wp:positionV relativeFrom="paragraph">
                  <wp:posOffset>40640</wp:posOffset>
                </wp:positionV>
                <wp:extent cx="6350" cy="115570"/>
                <wp:effectExtent l="33655" t="635" r="36195" b="17145"/>
                <wp:wrapNone/>
                <wp:docPr id="232" name="直接箭头连接符 232"/>
                <wp:cNvGraphicFramePr/>
                <a:graphic xmlns:a="http://schemas.openxmlformats.org/drawingml/2006/main">
                  <a:graphicData uri="http://schemas.microsoft.com/office/word/2010/wordprocessingShape">
                    <wps:wsp>
                      <wps:cNvCnPr/>
                      <wps:spPr>
                        <a:xfrm flipH="1">
                          <a:off x="0" y="0"/>
                          <a:ext cx="6350" cy="115570"/>
                        </a:xfrm>
                        <a:prstGeom prst="straightConnector1">
                          <a:avLst/>
                        </a:prstGeom>
                        <a:ln>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5.1pt;margin-top:3.2pt;height:9.1pt;width:0.5pt;z-index:251731968;mso-width-relative:page;mso-height-relative:page;" filled="f" stroked="t" coordsize="21600,21600" o:gfxdata="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AKsE1QAAAAgBAAAPAAAAAAAAAAEA&#10;IAAAACIAAABkcnMvZG93bnJldi54bWxQSwECFAAUAAAACACHTuJA/Fk3RRICAADyAwAADgAAAAAA&#10;AAABACAAAAAkAQAAZHJzL2Uyb0RvYy54bWxQSwUGAAAAAAYABgBZAQAAqAUAAAAA&#10;">
                <v:fill on="f" focussize="0,0"/>
                <v:stroke weight="1pt" color="#000000 [3213]" miterlimit="8" joinstyle="miter" endarrow="block"/>
                <v:imagedata o:title=""/>
                <o:lock v:ext="edit" aspectratio="f"/>
              </v:shape>
            </w:pict>
          </mc:Fallback>
        </mc:AlternateContent>
      </w:r>
    </w:p>
    <w:p w14:paraId="5E89D86D">
      <w:pPr>
        <w:tabs>
          <w:tab w:val="left" w:pos="5517"/>
        </w:tabs>
        <w:snapToGrid w:val="0"/>
        <w:spacing w:line="360" w:lineRule="auto"/>
        <w:ind w:firstLine="482" w:firstLineChars="200"/>
        <w:jc w:val="left"/>
        <w:outlineLvl w:val="2"/>
        <w:rPr>
          <w:rFonts w:asciiTheme="minorEastAsia" w:hAnsiTheme="minorEastAsia" w:cstheme="minorEastAsia"/>
          <w:b/>
          <w:bCs/>
          <w:sz w:val="24"/>
        </w:rPr>
      </w:pPr>
      <w:r>
        <w:rPr>
          <w:rFonts w:hint="eastAsia" w:asciiTheme="minorEastAsia" w:hAnsiTheme="minorEastAsia" w:cstheme="minorEastAsia"/>
          <w:b/>
          <w:bCs/>
          <w:sz w:val="24"/>
        </w:rPr>
        <w:tab/>
      </w:r>
    </w:p>
    <w:p w14:paraId="722BB990">
      <w:pPr>
        <w:snapToGrid w:val="0"/>
        <w:spacing w:before="156" w:beforeLines="50" w:after="156" w:afterLines="50" w:line="360" w:lineRule="auto"/>
        <w:ind w:firstLine="482" w:firstLineChars="200"/>
        <w:outlineLvl w:val="1"/>
        <w:rPr>
          <w:rFonts w:asciiTheme="minorEastAsia" w:hAnsiTheme="minorEastAsia" w:cstheme="minorEastAsia"/>
          <w:b/>
          <w:bCs/>
          <w:sz w:val="24"/>
        </w:rPr>
      </w:pPr>
      <w:bookmarkStart w:id="33" w:name="_Toc24055"/>
      <w:bookmarkStart w:id="34" w:name="_Toc11130"/>
      <w:bookmarkStart w:id="35" w:name="_Toc19384"/>
      <w:r>
        <w:rPr>
          <w:rFonts w:hint="eastAsia" w:asciiTheme="minorEastAsia" w:hAnsiTheme="minorEastAsia" w:cstheme="minorEastAsia"/>
          <w:b/>
          <w:bCs/>
          <w:sz w:val="24"/>
        </w:rPr>
        <w:t>二、关于集约化函证的提醒</w:t>
      </w:r>
      <w:bookmarkEnd w:id="33"/>
    </w:p>
    <w:p w14:paraId="4363D7E0">
      <w:pPr>
        <w:snapToGrid w:val="0"/>
        <w:spacing w:line="360" w:lineRule="auto"/>
        <w:ind w:firstLine="480" w:firstLineChars="200"/>
        <w:rPr>
          <w:rFonts w:asciiTheme="minorEastAsia" w:hAnsiTheme="minorEastAsia" w:cstheme="minorEastAsia"/>
          <w:sz w:val="24"/>
        </w:rPr>
        <w:sectPr>
          <w:footerReference r:id="rId7" w:type="default"/>
          <w:pgSz w:w="11906" w:h="16838"/>
          <w:pgMar w:top="1247" w:right="1644" w:bottom="1134" w:left="1644" w:header="851" w:footer="680" w:gutter="0"/>
          <w:pgNumType w:start="1"/>
          <w:cols w:space="0" w:num="1"/>
          <w:docGrid w:type="lines" w:linePitch="312" w:charSpace="0"/>
        </w:sectPr>
      </w:pPr>
      <w:r>
        <w:rPr>
          <w:rFonts w:hint="eastAsia" w:asciiTheme="minorEastAsia" w:hAnsiTheme="minorEastAsia" w:cstheme="minorEastAsia"/>
          <w:sz w:val="24"/>
        </w:rPr>
        <w:t>根据《关于加快推进银行函证规范化、集约化、数字化建设的通知》（财会〔2022〕39号）要求，自2023年1月1日起，备案从事证券业务的会计师事务所开展上市公司年报审计业务时，应当实现上市公司银行函证业务集约化。其他会计师事务所和其他审计业务应当于2023年12月31日前实现银行函证集约化。已经按规定实现函证集约化的会计师事务所，应要求处理函证的内部专门机构（或岗位）应熟悉函证的工作流程，严格按照会计师事务所确定的函证操作规范执行，充分关注并评估函证集约化处理人员是否具备必要的专业胜任能力。</w:t>
      </w:r>
    </w:p>
    <w:bookmarkEnd w:id="34"/>
    <w:bookmarkEnd w:id="35"/>
    <w:p w14:paraId="3AEB0345">
      <w:pPr>
        <w:snapToGrid w:val="0"/>
        <w:spacing w:line="360" w:lineRule="auto"/>
        <w:ind w:firstLine="0" w:firstLineChars="0"/>
        <w:jc w:val="center"/>
        <w:outlineLvl w:val="9"/>
        <w:rPr>
          <w:rFonts w:asciiTheme="minorEastAsia" w:hAnsiTheme="minorEastAsia" w:eastAsiaTheme="minorEastAsia" w:cstheme="minorEastAsia"/>
          <w:b/>
          <w:bCs/>
          <w:sz w:val="30"/>
          <w:szCs w:val="30"/>
        </w:rPr>
      </w:pPr>
      <w:bookmarkStart w:id="36" w:name="_Toc7192"/>
      <w:bookmarkStart w:id="37" w:name="_Toc20353"/>
      <w:r>
        <w:rPr>
          <w:rFonts w:hint="eastAsia" w:asciiTheme="minorEastAsia" w:hAnsiTheme="minorEastAsia" w:eastAsiaTheme="minorEastAsia" w:cstheme="minorEastAsia"/>
          <w:b/>
          <w:bCs/>
          <w:sz w:val="30"/>
          <w:szCs w:val="30"/>
        </w:rPr>
        <w:t>第四章</w:t>
      </w:r>
      <w:r>
        <w:rPr>
          <w:rFonts w:asciiTheme="minorEastAsia" w:hAnsiTheme="minorEastAsia" w:cstheme="minorEastAsia"/>
          <w:b/>
          <w:bCs/>
          <w:sz w:val="30"/>
          <w:szCs w:val="30"/>
        </w:rPr>
        <w:t xml:space="preserve">  </w:t>
      </w:r>
      <w:r>
        <w:rPr>
          <w:rFonts w:hint="eastAsia" w:asciiTheme="minorEastAsia" w:hAnsiTheme="minorEastAsia" w:eastAsiaTheme="minorEastAsia" w:cstheme="minorEastAsia"/>
          <w:b/>
          <w:bCs/>
          <w:sz w:val="30"/>
          <w:szCs w:val="30"/>
        </w:rPr>
        <w:t>函证操作规范</w:t>
      </w:r>
      <w:bookmarkEnd w:id="36"/>
      <w:bookmarkEnd w:id="37"/>
    </w:p>
    <w:p w14:paraId="611E7955">
      <w:pPr>
        <w:snapToGrid w:val="0"/>
        <w:spacing w:line="360" w:lineRule="auto"/>
        <w:ind w:firstLine="0" w:firstLineChars="0"/>
        <w:jc w:val="center"/>
        <w:outlineLvl w:val="1"/>
        <w:rPr>
          <w:rFonts w:asciiTheme="minorEastAsia" w:hAnsiTheme="minorEastAsia" w:cstheme="minorEastAsia"/>
          <w:b/>
          <w:bCs/>
          <w:sz w:val="24"/>
        </w:rPr>
      </w:pPr>
      <w:bookmarkStart w:id="38" w:name="_Toc24934"/>
      <w:bookmarkStart w:id="39" w:name="_Toc29301"/>
    </w:p>
    <w:p w14:paraId="257EF340">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40" w:name="_Toc26682"/>
      <w:r>
        <w:rPr>
          <w:rFonts w:hint="eastAsia" w:asciiTheme="minorEastAsia" w:hAnsiTheme="minorEastAsia" w:eastAsiaTheme="minorEastAsia" w:cstheme="minorEastAsia"/>
          <w:b/>
          <w:bCs/>
          <w:sz w:val="24"/>
        </w:rPr>
        <w:t>第一节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制定函证计划</w:t>
      </w:r>
      <w:bookmarkEnd w:id="38"/>
      <w:bookmarkEnd w:id="39"/>
      <w:bookmarkEnd w:id="40"/>
    </w:p>
    <w:p w14:paraId="3B539338">
      <w:pPr>
        <w:snapToGrid w:val="0"/>
        <w:spacing w:line="360" w:lineRule="auto"/>
        <w:ind w:firstLine="480" w:firstLineChars="200"/>
        <w:rPr>
          <w:rFonts w:asciiTheme="minorEastAsia" w:hAnsiTheme="minorEastAsia" w:cstheme="minorEastAsia"/>
          <w:sz w:val="24"/>
        </w:rPr>
      </w:pPr>
    </w:p>
    <w:p w14:paraId="25EB84F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在制定函证计划时，注册会计师需综合考虑审计目标、被审计单位的业务特性、风险评估结果以及相关法律法规和审计准则的要求，确保函证程序的顺利实施并有效获取审计证据。</w:t>
      </w:r>
    </w:p>
    <w:p w14:paraId="41C37DFB">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一、明确审计目标与函证目的</w:t>
      </w:r>
    </w:p>
    <w:p w14:paraId="62750540">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（一）审计目标</w:t>
      </w:r>
    </w:p>
    <w:p w14:paraId="6E91AA5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根据审计总体要求，明确本次审计旨在验证的财务报表特定领域或项目的真实性和准确性。</w:t>
      </w:r>
    </w:p>
    <w:p w14:paraId="13EFE372">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（二）函证目的</w:t>
      </w:r>
    </w:p>
    <w:p w14:paraId="5414202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基于审计目标，确定函证程序旨在确认的交易、账户余额或特定事项，以及通过</w:t>
      </w:r>
      <w:r>
        <w:rPr>
          <w:rStyle w:val="15"/>
          <w:rFonts w:hint="eastAsia" w:asciiTheme="minorEastAsia" w:hAnsiTheme="minorEastAsia" w:eastAsiaTheme="minorEastAsia" w:cstheme="minorEastAsia"/>
          <w:sz w:val="24"/>
          <w:szCs w:val="24"/>
        </w:rPr>
        <w:t>设计和实施函证程序以获取相关、可靠的审计证据，</w:t>
      </w:r>
      <w:r>
        <w:rPr>
          <w:rFonts w:hint="eastAsia" w:asciiTheme="minorEastAsia" w:hAnsiTheme="minorEastAsia" w:eastAsiaTheme="minorEastAsia" w:cstheme="minorEastAsia"/>
          <w:sz w:val="24"/>
        </w:rPr>
        <w:t>预期达到的信息验证目的。</w:t>
      </w:r>
    </w:p>
    <w:p w14:paraId="59E594F6">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二、风险评估与函证范围确定</w:t>
      </w:r>
    </w:p>
    <w:p w14:paraId="3E1B3952">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（一）风险评估</w:t>
      </w:r>
    </w:p>
    <w:p w14:paraId="257593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依据风险评估结果，识别与函证相关的潜在风险，如被询证者的信用风险、回复可靠性风险等，并评估这些风险对审计结论的影响。</w:t>
      </w:r>
    </w:p>
    <w:p w14:paraId="13AE2E99">
      <w:pPr>
        <w:snapToGrid w:val="0"/>
        <w:spacing w:line="360" w:lineRule="auto"/>
        <w:ind w:left="420" w:left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（二）函证范围</w:t>
      </w:r>
    </w:p>
    <w:p w14:paraId="4C096B6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根据审计目标和风险评估结果，确定需要函证的交易、账户余额或特定事项的范围，以及被询证者的选择取标准。</w:t>
      </w:r>
    </w:p>
    <w:p w14:paraId="092591A5">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三、制定函证策略与时间表</w:t>
      </w:r>
    </w:p>
    <w:p w14:paraId="19E97D4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（一）函证策略</w:t>
      </w:r>
    </w:p>
    <w:p w14:paraId="65317B9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确定函证程序的具体实施方式，包括函证类型（如积极函证、消极函证）、函证方式（如邮寄、跟函、电子函证等）以及函证频率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auto"/>
          <w:sz w:val="24"/>
        </w:rPr>
        <w:t>样本选择</w:t>
      </w:r>
      <w:r>
        <w:rPr>
          <w:rFonts w:hint="eastAsia" w:asciiTheme="minorEastAsia" w:hAnsiTheme="minorEastAsia" w:eastAsiaTheme="minorEastAsia" w:cstheme="minorEastAsia"/>
          <w:sz w:val="24"/>
        </w:rPr>
        <w:t>）。</w:t>
      </w:r>
    </w:p>
    <w:p w14:paraId="156DE75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（二）时间表</w:t>
      </w:r>
    </w:p>
    <w:p w14:paraId="336421DF">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合理规划函证程序的实施时间表，确保函证的发送、回收和评价等环节均在审计时间框架内有序进行。</w:t>
      </w:r>
    </w:p>
    <w:p w14:paraId="7B7C29A6">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四、资源分配与团队协作</w:t>
      </w:r>
    </w:p>
    <w:p w14:paraId="30F3B97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（一）资源分配</w:t>
      </w:r>
    </w:p>
    <w:p w14:paraId="5E57566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根据函证计划的规模和复杂度，合理分配审计资源，包括审计人员、时间和成本等。</w:t>
      </w:r>
    </w:p>
    <w:p w14:paraId="1CBBA46C">
      <w:pPr>
        <w:snapToGrid w:val="0"/>
        <w:spacing w:line="360" w:lineRule="auto"/>
        <w:ind w:left="420" w:left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（二）团队协作</w:t>
      </w:r>
    </w:p>
    <w:p w14:paraId="6DDBDA8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明确团队成员的职责分工，确保函证计划的顺利实施和后续工作的有序开展，同时建立有效的沟通机制，以便及时解决函证过程中出现的问题。</w:t>
      </w:r>
    </w:p>
    <w:p w14:paraId="3F907995">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五、工作底稿</w:t>
      </w:r>
    </w:p>
    <w:p w14:paraId="6CFAA88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将函证计划的详细内容记录在工作底稿中，包括审计目标、函证目的、风险评估结果、函证范围、策略与时间表等。</w:t>
      </w:r>
    </w:p>
    <w:p w14:paraId="7821152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由项目负责人或具有相应权限的审计人员对函证计划进行复核，确保其符合审计准则和法规要求，并具备可行性和有效性。</w:t>
      </w:r>
    </w:p>
    <w:p w14:paraId="4B69A1F3">
      <w:pPr>
        <w:snapToGrid w:val="0"/>
        <w:spacing w:line="360" w:lineRule="auto"/>
        <w:ind w:firstLine="482" w:firstLineChars="200"/>
        <w:jc w:val="center"/>
        <w:outlineLvl w:val="1"/>
        <w:rPr>
          <w:rFonts w:asciiTheme="minorEastAsia" w:hAnsiTheme="minorEastAsia" w:cstheme="minorEastAsia"/>
          <w:b/>
          <w:bCs/>
          <w:sz w:val="24"/>
        </w:rPr>
      </w:pPr>
      <w:bookmarkStart w:id="41" w:name="_Toc26543"/>
      <w:bookmarkStart w:id="42" w:name="_Toc1760"/>
    </w:p>
    <w:p w14:paraId="2A468AB6">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43" w:name="_Toc30476"/>
      <w:r>
        <w:rPr>
          <w:rFonts w:hint="eastAsia" w:asciiTheme="minorEastAsia" w:hAnsiTheme="minorEastAsia" w:eastAsiaTheme="minorEastAsia" w:cstheme="minorEastAsia"/>
          <w:b/>
          <w:bCs/>
          <w:sz w:val="24"/>
        </w:rPr>
        <w:t>第二节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确定函证事项</w:t>
      </w:r>
      <w:bookmarkEnd w:id="41"/>
      <w:bookmarkEnd w:id="42"/>
      <w:bookmarkEnd w:id="43"/>
    </w:p>
    <w:p w14:paraId="06BA4FA8">
      <w:pPr>
        <w:snapToGrid w:val="0"/>
        <w:spacing w:line="360" w:lineRule="auto"/>
        <w:ind w:firstLine="480" w:firstLineChars="200"/>
        <w:rPr>
          <w:rFonts w:asciiTheme="minorEastAsia" w:hAnsiTheme="minorEastAsia" w:cstheme="minorEastAsia"/>
          <w:sz w:val="24"/>
        </w:rPr>
      </w:pPr>
    </w:p>
    <w:p w14:paraId="7A65406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事项包括应当函证事项和其他函证事项。应当函证的事项指在执行审计业务过程中，除报表项目不重要或函证很可能是无效的情况下，均必须执行函证的事项。其他函证事项指不是审计准则要求必须函证程序，可根据注册会计师的职业判断，有选择地执行函证的事项。</w:t>
      </w:r>
    </w:p>
    <w:p w14:paraId="06752804">
      <w:pPr>
        <w:snapToGrid w:val="0"/>
        <w:spacing w:after="156" w:afterLines="50"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在确定函证事项时，注册会计师需严格遵循中国注册会计师审计准则的相关规定，综合考虑函证针对的认定、识别出的重大错报风险（包括舞弊风险）、以往审计或类似业务的经验以及预期的被询证者确认或提供信息的能力等因素，确保函证程序的针对性和有效性，提高审计质量和效率。</w:t>
      </w:r>
    </w:p>
    <w:p w14:paraId="43352CD9">
      <w:pPr>
        <w:snapToGrid w:val="0"/>
        <w:spacing w:line="360" w:lineRule="auto"/>
        <w:ind w:firstLine="0" w:firstLineChars="0"/>
        <w:jc w:val="center"/>
        <w:rPr>
          <w:rFonts w:asciiTheme="minorEastAsia" w:hAnsiTheme="minorEastAsia" w:cstheme="minorEastAsia"/>
          <w:b/>
          <w:bCs/>
          <w:sz w:val="24"/>
        </w:rPr>
      </w:pPr>
      <w:r>
        <w:rPr>
          <w:rFonts w:hint="eastAsia" w:asciiTheme="minorEastAsia" w:hAnsiTheme="minorEastAsia" w:cstheme="minorEastAsia"/>
          <w:b/>
          <w:bCs/>
          <w:sz w:val="24"/>
        </w:rPr>
        <w:t>函证事项汇总表</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20"/>
        <w:gridCol w:w="2190"/>
        <w:gridCol w:w="4020"/>
      </w:tblGrid>
      <w:tr w14:paraId="2780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10" w:type="dxa"/>
            <w:vAlign w:val="center"/>
          </w:tcPr>
          <w:p w14:paraId="4F0CCCE3">
            <w:pPr>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项目</w:t>
            </w:r>
          </w:p>
        </w:tc>
        <w:tc>
          <w:tcPr>
            <w:tcW w:w="3510" w:type="dxa"/>
            <w:gridSpan w:val="2"/>
            <w:vAlign w:val="center"/>
          </w:tcPr>
          <w:p w14:paraId="1B5B4C84">
            <w:pPr>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szCs w:val="21"/>
              </w:rPr>
              <w:t>类别</w:t>
            </w:r>
          </w:p>
        </w:tc>
        <w:tc>
          <w:tcPr>
            <w:tcW w:w="4020" w:type="dxa"/>
            <w:vAlign w:val="center"/>
          </w:tcPr>
          <w:p w14:paraId="3E4EEB07">
            <w:pPr>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szCs w:val="21"/>
              </w:rPr>
              <w:t>具体事项</w:t>
            </w:r>
          </w:p>
        </w:tc>
      </w:tr>
      <w:tr w14:paraId="572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0" w:type="dxa"/>
            <w:vMerge w:val="restart"/>
            <w:vAlign w:val="center"/>
          </w:tcPr>
          <w:p w14:paraId="75B7C787">
            <w:pPr>
              <w:snapToGrid w:val="0"/>
              <w:spacing w:line="300" w:lineRule="exact"/>
              <w:jc w:val="left"/>
              <w:rPr>
                <w:rFonts w:asciiTheme="minorEastAsia" w:hAnsiTheme="minorEastAsia" w:cstheme="minorEastAsia"/>
                <w:sz w:val="21"/>
                <w:szCs w:val="21"/>
              </w:rPr>
            </w:pPr>
            <w:r>
              <w:rPr>
                <w:rFonts w:hint="eastAsia" w:asciiTheme="minorEastAsia" w:hAnsiTheme="minorEastAsia" w:cstheme="minorEastAsia"/>
                <w:kern w:val="0"/>
                <w:szCs w:val="21"/>
                <w:lang w:bidi="ar"/>
              </w:rPr>
              <w:t>一、应当函证事项</w:t>
            </w:r>
          </w:p>
        </w:tc>
        <w:tc>
          <w:tcPr>
            <w:tcW w:w="3510" w:type="dxa"/>
            <w:gridSpan w:val="2"/>
            <w:vAlign w:val="center"/>
          </w:tcPr>
          <w:p w14:paraId="4E79506A">
            <w:pPr>
              <w:snapToGrid w:val="0"/>
              <w:spacing w:line="300" w:lineRule="exact"/>
              <w:rPr>
                <w:rFonts w:asciiTheme="minorEastAsia" w:hAnsiTheme="minorEastAsia" w:cstheme="minorEastAsia"/>
                <w:sz w:val="21"/>
                <w:szCs w:val="21"/>
              </w:rPr>
            </w:pPr>
            <w:r>
              <w:rPr>
                <w:rFonts w:hint="eastAsia" w:asciiTheme="minorEastAsia" w:hAnsiTheme="minorEastAsia" w:cstheme="minorEastAsia"/>
                <w:kern w:val="0"/>
                <w:szCs w:val="21"/>
                <w:lang w:bidi="ar"/>
              </w:rPr>
              <w:t>（一） 银行存款等</w:t>
            </w:r>
          </w:p>
        </w:tc>
        <w:tc>
          <w:tcPr>
            <w:tcW w:w="4020" w:type="dxa"/>
            <w:vAlign w:val="center"/>
          </w:tcPr>
          <w:p w14:paraId="705AC4B4">
            <w:pPr>
              <w:snapToGrid w:val="0"/>
              <w:spacing w:line="300" w:lineRule="exact"/>
              <w:rPr>
                <w:rFonts w:asciiTheme="minorEastAsia" w:hAnsiTheme="minorEastAsia" w:cstheme="minorEastAsia"/>
                <w:sz w:val="21"/>
                <w:szCs w:val="21"/>
              </w:rPr>
            </w:pPr>
            <w:r>
              <w:rPr>
                <w:rFonts w:hint="eastAsia" w:asciiTheme="minorEastAsia" w:hAnsiTheme="minorEastAsia" w:cstheme="minorEastAsia"/>
                <w:kern w:val="0"/>
                <w:szCs w:val="21"/>
                <w:lang w:bidi="ar"/>
              </w:rPr>
              <w:t>银行存款（含零余额账户、注销账户）、借款及与金融机构往来的其他重要信息</w:t>
            </w:r>
          </w:p>
        </w:tc>
      </w:tr>
      <w:tr w14:paraId="61B8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0" w:type="dxa"/>
            <w:vMerge w:val="continue"/>
            <w:vAlign w:val="center"/>
          </w:tcPr>
          <w:p w14:paraId="465A511E">
            <w:pPr>
              <w:snapToGrid w:val="0"/>
              <w:spacing w:line="300" w:lineRule="exact"/>
              <w:jc w:val="center"/>
              <w:rPr>
                <w:rFonts w:asciiTheme="minorEastAsia" w:hAnsiTheme="minorEastAsia" w:cstheme="minorEastAsia"/>
                <w:sz w:val="21"/>
                <w:szCs w:val="21"/>
              </w:rPr>
            </w:pPr>
          </w:p>
        </w:tc>
        <w:tc>
          <w:tcPr>
            <w:tcW w:w="3510" w:type="dxa"/>
            <w:gridSpan w:val="2"/>
            <w:vAlign w:val="center"/>
          </w:tcPr>
          <w:p w14:paraId="264A3FBA">
            <w:pPr>
              <w:snapToGrid w:val="0"/>
              <w:spacing w:line="300" w:lineRule="exact"/>
              <w:rPr>
                <w:rFonts w:asciiTheme="minorEastAsia" w:hAnsiTheme="minorEastAsia" w:cstheme="minorEastAsia"/>
                <w:sz w:val="21"/>
                <w:szCs w:val="21"/>
              </w:rPr>
            </w:pPr>
            <w:r>
              <w:rPr>
                <w:rStyle w:val="21"/>
                <w:rFonts w:asciiTheme="minorEastAsia" w:hAnsiTheme="minorEastAsia" w:eastAsiaTheme="minorEastAsia" w:cstheme="minorEastAsia"/>
                <w:b w:val="0"/>
                <w:bCs w:val="0"/>
                <w:color w:val="auto"/>
                <w:sz w:val="21"/>
                <w:szCs w:val="21"/>
                <w:lang w:bidi="ar"/>
              </w:rPr>
              <w:t>（二）</w:t>
            </w:r>
            <w:r>
              <w:rPr>
                <w:rStyle w:val="21"/>
                <w:rFonts w:hint="default" w:asciiTheme="minorEastAsia" w:hAnsiTheme="minorEastAsia" w:eastAsiaTheme="minorEastAsia" w:cstheme="minorEastAsia"/>
                <w:b w:val="0"/>
                <w:bCs w:val="0"/>
                <w:color w:val="auto"/>
                <w:sz w:val="21"/>
                <w:szCs w:val="21"/>
                <w:lang w:bidi="ar"/>
              </w:rPr>
              <w:t xml:space="preserve"> </w:t>
            </w:r>
            <w:r>
              <w:rPr>
                <w:rStyle w:val="21"/>
                <w:rFonts w:asciiTheme="minorEastAsia" w:hAnsiTheme="minorEastAsia" w:eastAsiaTheme="minorEastAsia" w:cstheme="minorEastAsia"/>
                <w:b w:val="0"/>
                <w:bCs w:val="0"/>
                <w:color w:val="auto"/>
                <w:sz w:val="21"/>
                <w:szCs w:val="21"/>
                <w:lang w:bidi="ar"/>
              </w:rPr>
              <w:t>应收账款</w:t>
            </w:r>
          </w:p>
        </w:tc>
        <w:tc>
          <w:tcPr>
            <w:tcW w:w="4020" w:type="dxa"/>
            <w:vAlign w:val="center"/>
          </w:tcPr>
          <w:p w14:paraId="19F3F7E8">
            <w:pPr>
              <w:snapToGrid w:val="0"/>
              <w:spacing w:line="300" w:lineRule="exact"/>
              <w:rPr>
                <w:rFonts w:asciiTheme="minorEastAsia" w:hAnsiTheme="minorEastAsia" w:cstheme="minorEastAsia"/>
                <w:sz w:val="21"/>
                <w:szCs w:val="21"/>
              </w:rPr>
            </w:pPr>
            <w:r>
              <w:rPr>
                <w:rFonts w:hint="eastAsia" w:asciiTheme="minorEastAsia" w:hAnsiTheme="minorEastAsia" w:cstheme="minorEastAsia"/>
                <w:kern w:val="0"/>
                <w:szCs w:val="21"/>
                <w:lang w:bidi="ar"/>
              </w:rPr>
              <w:t>应收账款</w:t>
            </w:r>
          </w:p>
        </w:tc>
      </w:tr>
      <w:tr w14:paraId="5CBB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10" w:type="dxa"/>
            <w:vMerge w:val="continue"/>
            <w:vAlign w:val="center"/>
          </w:tcPr>
          <w:p w14:paraId="1BC47C8B">
            <w:pPr>
              <w:snapToGrid w:val="0"/>
              <w:spacing w:line="300" w:lineRule="exact"/>
              <w:jc w:val="center"/>
              <w:rPr>
                <w:rFonts w:asciiTheme="minorEastAsia" w:hAnsiTheme="minorEastAsia" w:cstheme="minorEastAsia"/>
                <w:sz w:val="21"/>
                <w:szCs w:val="21"/>
              </w:rPr>
            </w:pPr>
          </w:p>
        </w:tc>
        <w:tc>
          <w:tcPr>
            <w:tcW w:w="3510" w:type="dxa"/>
            <w:gridSpan w:val="2"/>
            <w:vAlign w:val="center"/>
          </w:tcPr>
          <w:p w14:paraId="77099681">
            <w:pPr>
              <w:snapToGrid w:val="0"/>
              <w:spacing w:line="300" w:lineRule="exact"/>
              <w:jc w:val="left"/>
              <w:rPr>
                <w:rFonts w:asciiTheme="minorEastAsia" w:hAnsiTheme="minorEastAsia" w:cstheme="minorEastAsia"/>
                <w:sz w:val="21"/>
                <w:szCs w:val="21"/>
              </w:rPr>
            </w:pPr>
            <w:r>
              <w:rPr>
                <w:rFonts w:hint="eastAsia" w:asciiTheme="minorEastAsia" w:hAnsiTheme="minorEastAsia" w:cstheme="minorEastAsia"/>
                <w:kern w:val="0"/>
                <w:szCs w:val="21"/>
                <w:lang w:bidi="ar"/>
              </w:rPr>
              <w:t>（三） 第三方保管的存货</w:t>
            </w:r>
          </w:p>
        </w:tc>
        <w:tc>
          <w:tcPr>
            <w:tcW w:w="4020" w:type="dxa"/>
            <w:vAlign w:val="center"/>
          </w:tcPr>
          <w:p w14:paraId="0EB96A91">
            <w:pPr>
              <w:snapToGrid w:val="0"/>
              <w:spacing w:line="300" w:lineRule="exact"/>
              <w:jc w:val="left"/>
              <w:rPr>
                <w:rFonts w:asciiTheme="minorEastAsia" w:hAnsiTheme="minorEastAsia" w:cstheme="minorEastAsia"/>
                <w:sz w:val="21"/>
                <w:szCs w:val="21"/>
              </w:rPr>
            </w:pPr>
            <w:r>
              <w:rPr>
                <w:rFonts w:hint="eastAsia" w:asciiTheme="minorEastAsia" w:hAnsiTheme="minorEastAsia" w:cstheme="minorEastAsia"/>
                <w:kern w:val="0"/>
                <w:szCs w:val="21"/>
                <w:lang w:bidi="ar"/>
              </w:rPr>
              <w:t>由第三方保管或控制的重要存货</w:t>
            </w:r>
          </w:p>
        </w:tc>
      </w:tr>
      <w:tr w14:paraId="478E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0" w:type="dxa"/>
            <w:vMerge w:val="restart"/>
            <w:vAlign w:val="center"/>
          </w:tcPr>
          <w:p w14:paraId="638FA741">
            <w:pPr>
              <w:snapToGrid w:val="0"/>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lang w:bidi="ar"/>
              </w:rPr>
              <w:t>二、其他函证事项</w:t>
            </w:r>
          </w:p>
        </w:tc>
        <w:tc>
          <w:tcPr>
            <w:tcW w:w="3510" w:type="dxa"/>
            <w:gridSpan w:val="2"/>
            <w:vAlign w:val="center"/>
          </w:tcPr>
          <w:p w14:paraId="42D7CDD7">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（一）诉讼或索赔</w:t>
            </w:r>
          </w:p>
        </w:tc>
        <w:tc>
          <w:tcPr>
            <w:tcW w:w="4020" w:type="dxa"/>
            <w:vAlign w:val="center"/>
          </w:tcPr>
          <w:p w14:paraId="31BE91E0">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存在重大错报风险的诉讼或索赔事项</w:t>
            </w:r>
          </w:p>
        </w:tc>
      </w:tr>
      <w:tr w14:paraId="5DB0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0" w:type="dxa"/>
            <w:vMerge w:val="continue"/>
            <w:vAlign w:val="center"/>
          </w:tcPr>
          <w:p w14:paraId="11519150">
            <w:pPr>
              <w:snapToGrid w:val="0"/>
              <w:spacing w:line="300" w:lineRule="exact"/>
              <w:jc w:val="center"/>
              <w:rPr>
                <w:rFonts w:asciiTheme="minorEastAsia" w:hAnsiTheme="minorEastAsia" w:cstheme="minorEastAsia"/>
                <w:szCs w:val="21"/>
              </w:rPr>
            </w:pPr>
          </w:p>
        </w:tc>
        <w:tc>
          <w:tcPr>
            <w:tcW w:w="3510" w:type="dxa"/>
            <w:gridSpan w:val="2"/>
            <w:vAlign w:val="center"/>
          </w:tcPr>
          <w:p w14:paraId="6D2D2E8F">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（二）重大承诺/担保</w:t>
            </w:r>
          </w:p>
        </w:tc>
        <w:tc>
          <w:tcPr>
            <w:tcW w:w="4020" w:type="dxa"/>
            <w:vAlign w:val="center"/>
          </w:tcPr>
          <w:p w14:paraId="54196B3F">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对外提供的保证、抵押、质押等可能影响财务报表的事项</w:t>
            </w:r>
          </w:p>
        </w:tc>
      </w:tr>
      <w:tr w14:paraId="446D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10" w:type="dxa"/>
            <w:vMerge w:val="continue"/>
            <w:vAlign w:val="center"/>
          </w:tcPr>
          <w:p w14:paraId="6F12FA24">
            <w:pPr>
              <w:snapToGrid w:val="0"/>
              <w:spacing w:line="300" w:lineRule="exact"/>
              <w:jc w:val="center"/>
              <w:rPr>
                <w:rFonts w:asciiTheme="minorEastAsia" w:hAnsiTheme="minorEastAsia" w:cstheme="minorEastAsia"/>
                <w:szCs w:val="21"/>
              </w:rPr>
            </w:pPr>
          </w:p>
        </w:tc>
        <w:tc>
          <w:tcPr>
            <w:tcW w:w="1320" w:type="dxa"/>
            <w:vMerge w:val="restart"/>
            <w:vAlign w:val="center"/>
          </w:tcPr>
          <w:p w14:paraId="3EBB1A59">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（三） 其他可函证事项</w:t>
            </w:r>
          </w:p>
        </w:tc>
        <w:tc>
          <w:tcPr>
            <w:tcW w:w="2190" w:type="dxa"/>
            <w:vAlign w:val="center"/>
          </w:tcPr>
          <w:p w14:paraId="4080414E">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3.1 委托贷款</w:t>
            </w:r>
          </w:p>
        </w:tc>
        <w:tc>
          <w:tcPr>
            <w:tcW w:w="4020" w:type="dxa"/>
            <w:vAlign w:val="center"/>
          </w:tcPr>
          <w:p w14:paraId="2F7F0FCE">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委托贷款金额、期限、利率、担保等</w:t>
            </w:r>
          </w:p>
        </w:tc>
      </w:tr>
      <w:tr w14:paraId="47D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0" w:type="dxa"/>
            <w:vMerge w:val="continue"/>
            <w:vAlign w:val="center"/>
          </w:tcPr>
          <w:p w14:paraId="6F41EC80">
            <w:pPr>
              <w:snapToGrid w:val="0"/>
              <w:spacing w:line="300" w:lineRule="exact"/>
              <w:jc w:val="center"/>
              <w:rPr>
                <w:rFonts w:asciiTheme="minorEastAsia" w:hAnsiTheme="minorEastAsia" w:cstheme="minorEastAsia"/>
                <w:szCs w:val="21"/>
              </w:rPr>
            </w:pPr>
          </w:p>
        </w:tc>
        <w:tc>
          <w:tcPr>
            <w:tcW w:w="1320" w:type="dxa"/>
            <w:vMerge w:val="continue"/>
            <w:vAlign w:val="center"/>
          </w:tcPr>
          <w:p w14:paraId="1F06F7E7">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01EA6E54">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3.2 重大租赁业务</w:t>
            </w:r>
          </w:p>
        </w:tc>
        <w:tc>
          <w:tcPr>
            <w:tcW w:w="4020" w:type="dxa"/>
            <w:vAlign w:val="center"/>
          </w:tcPr>
          <w:p w14:paraId="5D1A7FF7">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租赁条款、租金支付情况</w:t>
            </w:r>
          </w:p>
        </w:tc>
      </w:tr>
      <w:tr w14:paraId="5F0A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0" w:type="dxa"/>
            <w:vMerge w:val="continue"/>
            <w:vAlign w:val="center"/>
          </w:tcPr>
          <w:p w14:paraId="16C9601C">
            <w:pPr>
              <w:snapToGrid w:val="0"/>
              <w:spacing w:line="300" w:lineRule="exact"/>
              <w:jc w:val="center"/>
              <w:rPr>
                <w:rFonts w:asciiTheme="minorEastAsia" w:hAnsiTheme="minorEastAsia" w:cstheme="minorEastAsia"/>
                <w:szCs w:val="21"/>
              </w:rPr>
            </w:pPr>
          </w:p>
        </w:tc>
        <w:tc>
          <w:tcPr>
            <w:tcW w:w="1320" w:type="dxa"/>
            <w:vMerge w:val="continue"/>
            <w:vAlign w:val="center"/>
          </w:tcPr>
          <w:p w14:paraId="62CC06CC">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51F70F52">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3.3 往来款项</w:t>
            </w:r>
          </w:p>
        </w:tc>
        <w:tc>
          <w:tcPr>
            <w:tcW w:w="4020" w:type="dxa"/>
            <w:vAlign w:val="center"/>
          </w:tcPr>
          <w:p w14:paraId="008B70AA">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应收票据、其他应收款、应付账款、合同负债等</w:t>
            </w:r>
          </w:p>
        </w:tc>
      </w:tr>
      <w:tr w14:paraId="3825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0" w:type="dxa"/>
            <w:vMerge w:val="continue"/>
            <w:vAlign w:val="center"/>
          </w:tcPr>
          <w:p w14:paraId="305D4EA9">
            <w:pPr>
              <w:snapToGrid w:val="0"/>
              <w:spacing w:line="300" w:lineRule="exact"/>
              <w:jc w:val="center"/>
              <w:rPr>
                <w:rFonts w:asciiTheme="minorEastAsia" w:hAnsiTheme="minorEastAsia" w:cstheme="minorEastAsia"/>
                <w:szCs w:val="21"/>
              </w:rPr>
            </w:pPr>
          </w:p>
        </w:tc>
        <w:tc>
          <w:tcPr>
            <w:tcW w:w="1320" w:type="dxa"/>
            <w:vMerge w:val="continue"/>
            <w:vAlign w:val="center"/>
          </w:tcPr>
          <w:p w14:paraId="4ED30474">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6B2F00E5">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3.4 重大交易</w:t>
            </w:r>
          </w:p>
        </w:tc>
        <w:tc>
          <w:tcPr>
            <w:tcW w:w="4020" w:type="dxa"/>
            <w:vAlign w:val="center"/>
          </w:tcPr>
          <w:p w14:paraId="1B29FF62">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销售、采购、现金交易、关联交易等</w:t>
            </w:r>
          </w:p>
        </w:tc>
      </w:tr>
      <w:tr w14:paraId="108A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0" w:type="dxa"/>
            <w:vMerge w:val="continue"/>
            <w:vAlign w:val="center"/>
          </w:tcPr>
          <w:p w14:paraId="6904BCC9">
            <w:pPr>
              <w:snapToGrid w:val="0"/>
              <w:spacing w:line="300" w:lineRule="exact"/>
              <w:jc w:val="center"/>
              <w:rPr>
                <w:rFonts w:asciiTheme="minorEastAsia" w:hAnsiTheme="minorEastAsia" w:cstheme="minorEastAsia"/>
                <w:szCs w:val="21"/>
              </w:rPr>
            </w:pPr>
          </w:p>
        </w:tc>
        <w:tc>
          <w:tcPr>
            <w:tcW w:w="1320" w:type="dxa"/>
            <w:vMerge w:val="continue"/>
            <w:vAlign w:val="center"/>
          </w:tcPr>
          <w:p w14:paraId="7AC74F8D">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1C0EDC61">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3.5 特定账户</w:t>
            </w:r>
          </w:p>
        </w:tc>
        <w:tc>
          <w:tcPr>
            <w:tcW w:w="4020" w:type="dxa"/>
            <w:vAlign w:val="center"/>
          </w:tcPr>
          <w:p w14:paraId="3E209E38">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以公允价值计量的金融资产/负债、长短期借款、长期股权投资等</w:t>
            </w:r>
          </w:p>
        </w:tc>
      </w:tr>
      <w:tr w14:paraId="35AA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0" w:type="dxa"/>
            <w:vMerge w:val="continue"/>
            <w:vAlign w:val="center"/>
          </w:tcPr>
          <w:p w14:paraId="29DB52CF">
            <w:pPr>
              <w:snapToGrid w:val="0"/>
              <w:spacing w:line="300" w:lineRule="exact"/>
              <w:jc w:val="center"/>
              <w:rPr>
                <w:rFonts w:asciiTheme="minorEastAsia" w:hAnsiTheme="minorEastAsia" w:cstheme="minorEastAsia"/>
                <w:szCs w:val="21"/>
              </w:rPr>
            </w:pPr>
          </w:p>
        </w:tc>
        <w:tc>
          <w:tcPr>
            <w:tcW w:w="1320" w:type="dxa"/>
            <w:vMerge w:val="continue"/>
            <w:vAlign w:val="center"/>
          </w:tcPr>
          <w:p w14:paraId="6C69011B">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5B1A1727">
            <w:pPr>
              <w:widowControl/>
              <w:snapToGrid w:val="0"/>
              <w:spacing w:line="340" w:lineRule="exac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3.6 向特定机构函证</w:t>
            </w:r>
          </w:p>
        </w:tc>
        <w:tc>
          <w:tcPr>
            <w:tcW w:w="4020" w:type="dxa"/>
            <w:vAlign w:val="center"/>
          </w:tcPr>
          <w:p w14:paraId="5A3286FF">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股东、税务机关、海关、社保局、律师等</w:t>
            </w:r>
          </w:p>
        </w:tc>
      </w:tr>
      <w:tr w14:paraId="2C8A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0" w:type="dxa"/>
            <w:vMerge w:val="continue"/>
            <w:vAlign w:val="center"/>
          </w:tcPr>
          <w:p w14:paraId="1593CD6B">
            <w:pPr>
              <w:snapToGrid w:val="0"/>
              <w:spacing w:line="300" w:lineRule="exact"/>
              <w:jc w:val="center"/>
              <w:rPr>
                <w:rFonts w:asciiTheme="minorEastAsia" w:hAnsiTheme="minorEastAsia" w:cstheme="minorEastAsia"/>
                <w:szCs w:val="21"/>
              </w:rPr>
            </w:pPr>
          </w:p>
        </w:tc>
        <w:tc>
          <w:tcPr>
            <w:tcW w:w="1320" w:type="dxa"/>
            <w:vMerge w:val="continue"/>
            <w:vAlign w:val="center"/>
          </w:tcPr>
          <w:p w14:paraId="66C89C68">
            <w:pPr>
              <w:widowControl/>
              <w:snapToGrid w:val="0"/>
              <w:spacing w:line="340" w:lineRule="exact"/>
              <w:textAlignment w:val="center"/>
              <w:rPr>
                <w:rFonts w:asciiTheme="minorEastAsia" w:hAnsiTheme="minorEastAsia" w:cstheme="minorEastAsia"/>
                <w:kern w:val="0"/>
                <w:szCs w:val="21"/>
                <w:lang w:bidi="ar"/>
              </w:rPr>
            </w:pPr>
          </w:p>
        </w:tc>
        <w:tc>
          <w:tcPr>
            <w:tcW w:w="2190" w:type="dxa"/>
            <w:vAlign w:val="center"/>
          </w:tcPr>
          <w:p w14:paraId="783B5136">
            <w:pPr>
              <w:widowControl/>
              <w:snapToGrid w:val="0"/>
              <w:spacing w:line="340" w:lineRule="exact"/>
              <w:jc w:val="left"/>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3.7 其他</w:t>
            </w:r>
          </w:p>
        </w:tc>
        <w:tc>
          <w:tcPr>
            <w:tcW w:w="4020" w:type="dxa"/>
            <w:vAlign w:val="center"/>
          </w:tcPr>
          <w:p w14:paraId="702C714C">
            <w:pPr>
              <w:widowControl/>
              <w:snapToGrid w:val="0"/>
              <w:spacing w:line="340" w:lineRule="exact"/>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注册会计师根据实际情况考虑实施函证的其他事项</w:t>
            </w:r>
          </w:p>
        </w:tc>
      </w:tr>
    </w:tbl>
    <w:p w14:paraId="3DD887F1">
      <w:pPr>
        <w:numPr>
          <w:ilvl w:val="0"/>
          <w:numId w:val="2"/>
        </w:numPr>
        <w:snapToGrid w:val="0"/>
        <w:spacing w:before="312" w:beforeLines="10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应当函证事项</w:t>
      </w:r>
    </w:p>
    <w:p w14:paraId="2215A93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中国注册会计师审计准则分别对银行存款、借款及与金融机构往来的其他重要信息，应收账款以及存货等账户如何实施函证程序作出了具体规定。</w:t>
      </w:r>
    </w:p>
    <w:p w14:paraId="3F3CF8C1">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（一）银行存款、借款及与金融机构往来的其他重要信息</w:t>
      </w:r>
    </w:p>
    <w:p w14:paraId="261DA422">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根据《中国注册会计师审计准则第</w:t>
      </w:r>
      <w:r>
        <w:rPr>
          <w:rFonts w:asciiTheme="minorEastAsia" w:hAnsiTheme="minorEastAsia" w:eastAsiaTheme="minorEastAsia" w:cstheme="minorEastAsia"/>
          <w:sz w:val="24"/>
        </w:rPr>
        <w:t>1312号——函证》第十二条，注册会计师应当对银行存款（包括零余额账户和在本期内注销的账户）、借款及与金融机构往来的其他重要信息实施函证程序，除非有充分证据表明这些信息对财务报表不重要且与之相关的重大错报风险很低。若决定不实施函证，应当在审计工作底稿中详细记录理由。</w:t>
      </w:r>
    </w:p>
    <w:tbl>
      <w:tblPr>
        <w:tblStyle w:val="12"/>
        <w:tblpPr w:leftFromText="180" w:rightFromText="180" w:vertAnchor="text" w:horzAnchor="page" w:tblpX="1861" w:tblpY="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59"/>
        <w:gridCol w:w="3511"/>
        <w:gridCol w:w="2105"/>
      </w:tblGrid>
      <w:tr w14:paraId="357C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50" w:type="dxa"/>
            <w:vAlign w:val="center"/>
          </w:tcPr>
          <w:p w14:paraId="136BDB75">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事项</w:t>
            </w:r>
          </w:p>
        </w:tc>
        <w:tc>
          <w:tcPr>
            <w:tcW w:w="1559" w:type="dxa"/>
            <w:vAlign w:val="center"/>
          </w:tcPr>
          <w:p w14:paraId="360B23EA">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必要性</w:t>
            </w:r>
          </w:p>
        </w:tc>
        <w:tc>
          <w:tcPr>
            <w:tcW w:w="3511" w:type="dxa"/>
            <w:vAlign w:val="center"/>
          </w:tcPr>
          <w:p w14:paraId="53B6E3F3">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例外情形（不函证，同时符合）</w:t>
            </w:r>
          </w:p>
        </w:tc>
        <w:tc>
          <w:tcPr>
            <w:tcW w:w="2105" w:type="dxa"/>
            <w:vAlign w:val="center"/>
          </w:tcPr>
          <w:p w14:paraId="3957314C">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不函证的处理</w:t>
            </w:r>
          </w:p>
        </w:tc>
      </w:tr>
      <w:tr w14:paraId="2334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4489D850">
            <w:pPr>
              <w:snapToGrid w:val="0"/>
              <w:spacing w:line="340" w:lineRule="exact"/>
              <w:jc w:val="center"/>
              <w:rPr>
                <w:rFonts w:asciiTheme="minorEastAsia" w:hAnsiTheme="minorEastAsia" w:cstheme="minorEastAsia"/>
                <w:szCs w:val="21"/>
              </w:rPr>
            </w:pPr>
            <w:r>
              <w:rPr>
                <w:rFonts w:hint="eastAsia" w:asciiTheme="minorEastAsia" w:hAnsiTheme="minorEastAsia" w:cstheme="minorEastAsia"/>
                <w:szCs w:val="21"/>
              </w:rPr>
              <w:t>银行函证</w:t>
            </w:r>
          </w:p>
        </w:tc>
        <w:tc>
          <w:tcPr>
            <w:tcW w:w="1559" w:type="dxa"/>
            <w:vAlign w:val="center"/>
          </w:tcPr>
          <w:p w14:paraId="2A51160A">
            <w:pPr>
              <w:snapToGrid w:val="0"/>
              <w:spacing w:line="340" w:lineRule="exact"/>
              <w:jc w:val="center"/>
              <w:rPr>
                <w:rFonts w:asciiTheme="minorEastAsia" w:hAnsiTheme="minorEastAsia" w:cstheme="minorEastAsia"/>
                <w:szCs w:val="21"/>
              </w:rPr>
            </w:pPr>
            <w:r>
              <w:rPr>
                <w:rFonts w:hint="eastAsia" w:asciiTheme="minorEastAsia" w:hAnsiTheme="minorEastAsia" w:cstheme="minorEastAsia"/>
                <w:szCs w:val="21"/>
              </w:rPr>
              <w:t>应当函证</w:t>
            </w:r>
          </w:p>
        </w:tc>
        <w:tc>
          <w:tcPr>
            <w:tcW w:w="3511" w:type="dxa"/>
            <w:vAlign w:val="center"/>
          </w:tcPr>
          <w:p w14:paraId="529A0430">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Cs w:val="21"/>
              </w:rPr>
              <w:t>1. 有充分证据表明这些信息对财务报表不重要</w:t>
            </w:r>
          </w:p>
          <w:p w14:paraId="6B20A736">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Cs w:val="21"/>
              </w:rPr>
              <w:t>2. 与之相关的重大错报风险很低</w:t>
            </w:r>
          </w:p>
        </w:tc>
        <w:tc>
          <w:tcPr>
            <w:tcW w:w="2105" w:type="dxa"/>
            <w:vAlign w:val="center"/>
          </w:tcPr>
          <w:p w14:paraId="3E1C0D41">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Cs w:val="21"/>
              </w:rPr>
              <w:t>在审计工作底稿中详细记录理由</w:t>
            </w:r>
          </w:p>
        </w:tc>
      </w:tr>
    </w:tbl>
    <w:p w14:paraId="36F9F235">
      <w:pPr>
        <w:spacing w:before="156" w:beforeLines="50" w:line="360" w:lineRule="auto"/>
        <w:ind w:firstLine="482" w:firstLineChars="200"/>
        <w:outlineLvl w:val="9"/>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（二）应收账款</w:t>
      </w:r>
    </w:p>
    <w:p w14:paraId="72E72867">
      <w:pPr>
        <w:snapToGrid w:val="0"/>
        <w:spacing w:line="360" w:lineRule="auto"/>
        <w:ind w:firstLine="480" w:firstLineChars="200"/>
        <w:rPr>
          <w:rFonts w:asciiTheme="minorEastAsia" w:hAnsiTheme="minorEastAsia" w:cstheme="minorEastAsia"/>
          <w:sz w:val="24"/>
        </w:rPr>
      </w:pPr>
      <w:bookmarkStart w:id="44" w:name="_Toc10288"/>
      <w:r>
        <w:rPr>
          <w:rFonts w:hint="eastAsia" w:asciiTheme="minorEastAsia" w:hAnsiTheme="minorEastAsia" w:eastAsiaTheme="minorEastAsia" w:cstheme="minorEastAsia"/>
          <w:sz w:val="24"/>
        </w:rPr>
        <w:t>《中国注册会计师审计准则第</w:t>
      </w:r>
      <w:r>
        <w:rPr>
          <w:rFonts w:asciiTheme="minorEastAsia" w:hAnsiTheme="minorEastAsia" w:eastAsiaTheme="minorEastAsia" w:cstheme="minorEastAsia"/>
          <w:sz w:val="24"/>
        </w:rPr>
        <w:t>1312号——函证》第十三条规定，注册会计师应当对应收账款实施函证程序，除非有充分证据表明应收账款对财务报表不重要，或函证很可能无效。如果认为函证很可能无效，注册会计师应当实施替代审计程序，获取相关、可靠的审计证据；如果不对应收账款实施函证，注册会计师应当在审计工作底稿中说明理由。</w:t>
      </w:r>
      <w:bookmarkEnd w:id="44"/>
    </w:p>
    <w:tbl>
      <w:tblPr>
        <w:tblStyle w:val="1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559"/>
        <w:gridCol w:w="3511"/>
        <w:gridCol w:w="2105"/>
        <w:tblGridChange w:id="0">
          <w:tblGrid>
            <w:gridCol w:w="105"/>
            <w:gridCol w:w="113"/>
            <w:gridCol w:w="1319"/>
            <w:gridCol w:w="18"/>
            <w:gridCol w:w="95"/>
            <w:gridCol w:w="1425"/>
            <w:gridCol w:w="3459"/>
            <w:gridCol w:w="2074"/>
          </w:tblGrid>
        </w:tblGridChange>
      </w:tblGrid>
      <w:tr w14:paraId="2237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50" w:type="dxa"/>
            <w:vAlign w:val="center"/>
          </w:tcPr>
          <w:p w14:paraId="2D296658">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事项</w:t>
            </w:r>
          </w:p>
        </w:tc>
        <w:tc>
          <w:tcPr>
            <w:tcW w:w="1559" w:type="dxa"/>
            <w:vAlign w:val="center"/>
          </w:tcPr>
          <w:p w14:paraId="5F8D8517">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必要性</w:t>
            </w:r>
          </w:p>
        </w:tc>
        <w:tc>
          <w:tcPr>
            <w:tcW w:w="3511" w:type="dxa"/>
            <w:vAlign w:val="center"/>
          </w:tcPr>
          <w:p w14:paraId="0646411A">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例外情形（不函证，同时符合）</w:t>
            </w:r>
          </w:p>
        </w:tc>
        <w:tc>
          <w:tcPr>
            <w:tcW w:w="2105" w:type="dxa"/>
            <w:vAlign w:val="center"/>
          </w:tcPr>
          <w:p w14:paraId="39CE7010">
            <w:pPr>
              <w:snapToGrid w:val="0"/>
              <w:spacing w:line="3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不函证的处理</w:t>
            </w:r>
          </w:p>
        </w:tc>
      </w:tr>
      <w:tr w14:paraId="24FF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Merge w:val="restart"/>
            <w:vAlign w:val="center"/>
          </w:tcPr>
          <w:p w14:paraId="72BCD00A">
            <w:pPr>
              <w:snapToGrid w:val="0"/>
              <w:spacing w:line="340" w:lineRule="exact"/>
              <w:jc w:val="center"/>
              <w:rPr>
                <w:rFonts w:asciiTheme="minorEastAsia" w:hAnsiTheme="minorEastAsia" w:cstheme="minorEastAsia"/>
                <w:szCs w:val="21"/>
              </w:rPr>
            </w:pPr>
            <w:r>
              <w:rPr>
                <w:rFonts w:hint="eastAsia" w:asciiTheme="minorEastAsia" w:hAnsiTheme="minorEastAsia" w:cstheme="minorEastAsia"/>
                <w:szCs w:val="21"/>
              </w:rPr>
              <w:t>应收账款</w:t>
            </w:r>
          </w:p>
          <w:p w14:paraId="6681B7AD">
            <w:pPr>
              <w:snapToGrid w:val="0"/>
              <w:spacing w:line="340" w:lineRule="exact"/>
              <w:jc w:val="center"/>
              <w:rPr>
                <w:rFonts w:asciiTheme="minorEastAsia" w:hAnsiTheme="minorEastAsia" w:cstheme="minorEastAsia"/>
                <w:szCs w:val="21"/>
              </w:rPr>
            </w:pPr>
            <w:r>
              <w:rPr>
                <w:rFonts w:hint="eastAsia" w:asciiTheme="minorEastAsia" w:hAnsiTheme="minorEastAsia" w:cstheme="minorEastAsia"/>
                <w:szCs w:val="21"/>
              </w:rPr>
              <w:t>函证</w:t>
            </w:r>
          </w:p>
        </w:tc>
        <w:tc>
          <w:tcPr>
            <w:tcW w:w="1559" w:type="dxa"/>
            <w:vMerge w:val="restart"/>
            <w:vAlign w:val="center"/>
          </w:tcPr>
          <w:p w14:paraId="6736B102">
            <w:pPr>
              <w:snapToGrid w:val="0"/>
              <w:spacing w:line="340" w:lineRule="exact"/>
              <w:jc w:val="center"/>
              <w:rPr>
                <w:rFonts w:asciiTheme="minorEastAsia" w:hAnsiTheme="minorEastAsia" w:cstheme="minorEastAsia"/>
                <w:szCs w:val="21"/>
              </w:rPr>
            </w:pPr>
            <w:r>
              <w:rPr>
                <w:rFonts w:hint="eastAsia" w:asciiTheme="minorEastAsia" w:hAnsiTheme="minorEastAsia" w:cstheme="minorEastAsia"/>
                <w:szCs w:val="21"/>
              </w:rPr>
              <w:t>应当函证</w:t>
            </w:r>
          </w:p>
        </w:tc>
        <w:tc>
          <w:tcPr>
            <w:tcW w:w="3511" w:type="dxa"/>
            <w:vAlign w:val="center"/>
          </w:tcPr>
          <w:p w14:paraId="5AECAC43">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Cs w:val="21"/>
              </w:rPr>
              <w:t xml:space="preserve">1. </w:t>
            </w:r>
            <w:r>
              <w:rPr>
                <w:rFonts w:hint="eastAsia" w:asciiTheme="minorEastAsia" w:hAnsiTheme="minorEastAsia" w:cstheme="minorEastAsia"/>
                <w:sz w:val="21"/>
                <w:szCs w:val="21"/>
              </w:rPr>
              <w:t>有充分证据表明应收账款对财务报表不重要</w:t>
            </w:r>
          </w:p>
        </w:tc>
        <w:tc>
          <w:tcPr>
            <w:tcW w:w="2105" w:type="dxa"/>
            <w:vAlign w:val="center"/>
          </w:tcPr>
          <w:p w14:paraId="0026BE89">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 w:val="21"/>
                <w:szCs w:val="21"/>
              </w:rPr>
              <w:t>在审计工作底稿中详细记录理由</w:t>
            </w:r>
          </w:p>
        </w:tc>
      </w:tr>
      <w:tr w14:paraId="47DD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5" w:hRule="atLeast"/>
        </w:trPr>
        <w:tc>
          <w:tcPr>
            <w:tcW w:w="1450" w:type="dxa"/>
            <w:vMerge w:val="continue"/>
            <w:vAlign w:val="center"/>
          </w:tcPr>
          <w:p w14:paraId="6F543B0C">
            <w:pPr>
              <w:snapToGrid w:val="0"/>
              <w:spacing w:line="340" w:lineRule="exact"/>
              <w:jc w:val="left"/>
              <w:rPr>
                <w:rFonts w:asciiTheme="minorEastAsia" w:hAnsiTheme="minorEastAsia" w:cstheme="minorEastAsia"/>
                <w:szCs w:val="21"/>
              </w:rPr>
            </w:pPr>
          </w:p>
        </w:tc>
        <w:tc>
          <w:tcPr>
            <w:tcW w:w="1559" w:type="dxa"/>
            <w:vMerge w:val="continue"/>
            <w:vAlign w:val="center"/>
          </w:tcPr>
          <w:p w14:paraId="233E5FE7">
            <w:pPr>
              <w:snapToGrid w:val="0"/>
              <w:spacing w:line="340" w:lineRule="exact"/>
              <w:jc w:val="left"/>
              <w:rPr>
                <w:rFonts w:asciiTheme="minorEastAsia" w:hAnsiTheme="minorEastAsia" w:cstheme="minorEastAsia"/>
                <w:szCs w:val="21"/>
              </w:rPr>
            </w:pPr>
          </w:p>
        </w:tc>
        <w:tc>
          <w:tcPr>
            <w:tcW w:w="3511" w:type="dxa"/>
            <w:vAlign w:val="center"/>
          </w:tcPr>
          <w:p w14:paraId="5F94B757">
            <w:pPr>
              <w:snapToGrid w:val="0"/>
              <w:spacing w:line="340" w:lineRule="exact"/>
              <w:jc w:val="left"/>
              <w:rPr>
                <w:rFonts w:asciiTheme="minorEastAsia" w:hAnsiTheme="minorEastAsia" w:cstheme="minorEastAsia"/>
                <w:sz w:val="21"/>
                <w:szCs w:val="21"/>
              </w:rPr>
            </w:pPr>
            <w:r>
              <w:rPr>
                <w:rFonts w:asciiTheme="minorEastAsia" w:hAnsiTheme="minorEastAsia" w:cstheme="minorEastAsia"/>
                <w:sz w:val="21"/>
                <w:szCs w:val="21"/>
              </w:rPr>
              <w:t xml:space="preserve">2. </w:t>
            </w:r>
            <w:r>
              <w:rPr>
                <w:rFonts w:hint="eastAsia" w:asciiTheme="minorEastAsia" w:hAnsiTheme="minorEastAsia" w:cstheme="minorEastAsia"/>
                <w:sz w:val="21"/>
                <w:szCs w:val="21"/>
              </w:rPr>
              <w:t>函证很可能无效</w:t>
            </w:r>
          </w:p>
        </w:tc>
        <w:tc>
          <w:tcPr>
            <w:tcW w:w="2105" w:type="dxa"/>
            <w:vAlign w:val="center"/>
          </w:tcPr>
          <w:p w14:paraId="4A0E162C">
            <w:pPr>
              <w:snapToGrid w:val="0"/>
              <w:spacing w:line="340" w:lineRule="exact"/>
              <w:jc w:val="left"/>
              <w:rPr>
                <w:rFonts w:asciiTheme="minorEastAsia" w:hAnsiTheme="minorEastAsia" w:cstheme="minorEastAsia"/>
                <w:szCs w:val="21"/>
              </w:rPr>
            </w:pPr>
            <w:r>
              <w:rPr>
                <w:rFonts w:hint="eastAsia" w:asciiTheme="minorEastAsia" w:hAnsiTheme="minorEastAsia" w:cstheme="minorEastAsia"/>
                <w:sz w:val="21"/>
                <w:szCs w:val="21"/>
              </w:rPr>
              <w:t>实施替代审计程序</w:t>
            </w:r>
          </w:p>
        </w:tc>
      </w:tr>
    </w:tbl>
    <w:p w14:paraId="13C43D6C">
      <w:pPr>
        <w:snapToGrid w:val="0"/>
        <w:spacing w:before="156" w:beforeLines="50" w:line="360" w:lineRule="auto"/>
        <w:ind w:firstLine="480" w:firstLineChars="200"/>
        <w:rPr>
          <w:rFonts w:asciiTheme="minorEastAsia" w:hAnsiTheme="minorEastAsia" w:eastAsiaTheme="minorEastAsia" w:cstheme="minorEastAsia"/>
          <w:sz w:val="24"/>
        </w:rPr>
      </w:pPr>
      <w:bookmarkStart w:id="45" w:name="_Toc31984"/>
      <w:r>
        <w:rPr>
          <w:rFonts w:hint="eastAsia" w:asciiTheme="minorEastAsia" w:hAnsiTheme="minorEastAsia" w:eastAsiaTheme="minorEastAsia" w:cstheme="minorEastAsia"/>
          <w:sz w:val="24"/>
        </w:rPr>
        <w:t>实务中，表明应收账款函证很可能无效的情况包括：</w:t>
      </w:r>
      <w:bookmarkEnd w:id="45"/>
    </w:p>
    <w:p w14:paraId="23409C97">
      <w:pPr>
        <w:snapToGrid w:val="0"/>
        <w:spacing w:line="360" w:lineRule="auto"/>
        <w:ind w:firstLine="480" w:firstLineChars="200"/>
        <w:rPr>
          <w:rFonts w:asciiTheme="minorEastAsia" w:hAnsiTheme="minorEastAsia" w:eastAsiaTheme="minorEastAsia" w:cstheme="minorEastAsia"/>
          <w:sz w:val="24"/>
        </w:rPr>
      </w:pPr>
      <w:bookmarkStart w:id="46" w:name="_Toc24938"/>
      <w:r>
        <w:rPr>
          <w:rFonts w:hint="eastAsia" w:asciiTheme="minorEastAsia" w:hAnsiTheme="minorEastAsia" w:cstheme="minorEastAsia"/>
          <w:sz w:val="24"/>
        </w:rPr>
        <w:t>1.</w:t>
      </w:r>
      <w:r>
        <w:rPr>
          <w:rFonts w:hint="eastAsia" w:asciiTheme="minorEastAsia" w:hAnsiTheme="minorEastAsia" w:eastAsiaTheme="minorEastAsia" w:cstheme="minorEastAsia"/>
          <w:sz w:val="24"/>
        </w:rPr>
        <w:t>以往审计业务经验表明回函率很低。</w:t>
      </w:r>
      <w:bookmarkEnd w:id="46"/>
    </w:p>
    <w:p w14:paraId="1866AECA">
      <w:pPr>
        <w:snapToGrid w:val="0"/>
        <w:spacing w:line="360" w:lineRule="auto"/>
        <w:ind w:firstLine="480" w:firstLineChars="200"/>
        <w:rPr>
          <w:rFonts w:asciiTheme="minorEastAsia" w:hAnsiTheme="minorEastAsia" w:eastAsiaTheme="minorEastAsia" w:cstheme="minorEastAsia"/>
          <w:sz w:val="24"/>
        </w:rPr>
      </w:pPr>
      <w:bookmarkStart w:id="47" w:name="_Toc20284"/>
      <w:r>
        <w:rPr>
          <w:rFonts w:hint="eastAsia" w:asciiTheme="minorEastAsia" w:hAnsiTheme="minorEastAsia" w:cstheme="minorEastAsia"/>
          <w:sz w:val="24"/>
        </w:rPr>
        <w:t>2.</w:t>
      </w:r>
      <w:r>
        <w:rPr>
          <w:rFonts w:hint="eastAsia" w:asciiTheme="minorEastAsia" w:hAnsiTheme="minorEastAsia" w:eastAsiaTheme="minorEastAsia" w:cstheme="minorEastAsia"/>
          <w:sz w:val="24"/>
        </w:rPr>
        <w:t>某些特定行业的客户通常不对应收账款询证函回函，如电信行业的个人客户。</w:t>
      </w:r>
      <w:bookmarkEnd w:id="47"/>
    </w:p>
    <w:p w14:paraId="6E771E2A">
      <w:pPr>
        <w:snapToGrid w:val="0"/>
        <w:spacing w:line="360" w:lineRule="auto"/>
        <w:ind w:firstLine="480" w:firstLineChars="200"/>
        <w:rPr>
          <w:rFonts w:asciiTheme="minorEastAsia" w:hAnsiTheme="minorEastAsia" w:eastAsiaTheme="minorEastAsia" w:cstheme="minorEastAsia"/>
          <w:sz w:val="24"/>
        </w:rPr>
      </w:pPr>
      <w:bookmarkStart w:id="48" w:name="_Toc10674"/>
      <w:r>
        <w:rPr>
          <w:rFonts w:hint="eastAsia" w:asciiTheme="minorEastAsia" w:hAnsiTheme="minorEastAsia" w:cstheme="minorEastAsia"/>
          <w:sz w:val="24"/>
        </w:rPr>
        <w:t>3.</w:t>
      </w:r>
      <w:r>
        <w:rPr>
          <w:rFonts w:hint="eastAsia" w:asciiTheme="minorEastAsia" w:hAnsiTheme="minorEastAsia" w:eastAsiaTheme="minorEastAsia" w:cstheme="minorEastAsia"/>
          <w:sz w:val="24"/>
        </w:rPr>
        <w:t>被询证者系出于制度的规定不能回函的单位。</w:t>
      </w:r>
      <w:bookmarkEnd w:id="48"/>
    </w:p>
    <w:p w14:paraId="292F85E6">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（三）由第三方保管或控制的重要存货</w:t>
      </w:r>
    </w:p>
    <w:p w14:paraId="5245E6B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根据《中国注册会计师审计准则第</w:t>
      </w:r>
      <w:r>
        <w:rPr>
          <w:rFonts w:asciiTheme="minorEastAsia" w:hAnsiTheme="minorEastAsia" w:eastAsiaTheme="minorEastAsia" w:cstheme="minorEastAsia"/>
          <w:sz w:val="24"/>
        </w:rPr>
        <w:t>1311号——对存货、诉讼和索赔、分部信息等特定项目获取审计证据的具体考虑》第八条</w:t>
      </w:r>
      <w:r>
        <w:rPr>
          <w:rFonts w:hint="eastAsia" w:asciiTheme="minorEastAsia" w:hAnsiTheme="minorEastAsia" w:cstheme="minorEastAsia"/>
          <w:sz w:val="24"/>
        </w:rPr>
        <w:t>的</w:t>
      </w:r>
      <w:r>
        <w:rPr>
          <w:rFonts w:asciiTheme="minorEastAsia" w:hAnsiTheme="minorEastAsia" w:cstheme="minorEastAsia"/>
          <w:sz w:val="24"/>
        </w:rPr>
        <w:t>规定</w:t>
      </w:r>
      <w:r>
        <w:rPr>
          <w:rFonts w:asciiTheme="minorEastAsia" w:hAnsiTheme="minorEastAsia" w:eastAsiaTheme="minorEastAsia" w:cstheme="minorEastAsia"/>
          <w:sz w:val="24"/>
        </w:rPr>
        <w:t>，若由第三方保管或控制的存货对财务报表重要，注册会计师应实施函证或检查等审计程序，以获取充分、适当的审计证据。若监盘不可行，注册会计师应当向持有被审计单位存货的第三方发出函证，核实存货的数量和实际状况，以确保存货信息的真实性和准确性。</w:t>
      </w:r>
    </w:p>
    <w:p w14:paraId="2733AD5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例如，对于外贸公司无自有仓库，存货由供应商、物流公司或码头仓库保管的情况，若无法实施监盘，应向保管方函证存货的品名、数量和状况。</w:t>
      </w:r>
    </w:p>
    <w:p w14:paraId="0480D22E">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二、其他函证事项</w:t>
      </w:r>
    </w:p>
    <w:p w14:paraId="2E7E558F">
      <w:pPr>
        <w:snapToGrid w:val="0"/>
        <w:spacing w:line="360" w:lineRule="auto"/>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其他函证事项包括但不限于：除应收账款外的其他往来款项、其他金融工具、长期股权投资情况、销售发生额、采购发生额、发出商品、诉讼和索赔事项等。实务中，注册会计师也可能因特定事项向股东、税务机关、海关、社保局、公司聘请的律师等部门或个人进行函证。</w:t>
      </w:r>
    </w:p>
    <w:p w14:paraId="6CF980AF">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（一）存在重大错报风险的诉讼或索赔事项</w:t>
      </w:r>
    </w:p>
    <w:p w14:paraId="4B823D19">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根据《中国注册会计师审计准则第</w:t>
      </w:r>
      <w:r>
        <w:rPr>
          <w:rFonts w:asciiTheme="minorEastAsia" w:hAnsiTheme="minorEastAsia" w:eastAsiaTheme="minorEastAsia" w:cstheme="minorEastAsia"/>
          <w:sz w:val="24"/>
        </w:rPr>
        <w:t>1311号——对存货、诉讼和索赔、分部信息等特定项目获取审计证据的具体考虑》</w:t>
      </w:r>
      <w:r>
        <w:rPr>
          <w:rFonts w:hint="eastAsia" w:asciiTheme="minorEastAsia" w:hAnsiTheme="minorEastAsia" w:cstheme="minorEastAsia"/>
          <w:sz w:val="24"/>
        </w:rPr>
        <w:t>的</w:t>
      </w:r>
      <w:r>
        <w:rPr>
          <w:rFonts w:asciiTheme="minorEastAsia" w:hAnsiTheme="minorEastAsia" w:eastAsiaTheme="minorEastAsia" w:cstheme="minorEastAsia"/>
          <w:sz w:val="24"/>
        </w:rPr>
        <w:t>规定，如果评估识别出的诉讼或索赔事项存在重大错报风险或者实施的审计程序表明可能存在其他重大诉讼或索赔事项，注册会计师应寻求与被审计单位外部法律顾问直接沟通，并亲自寄发由管</w:t>
      </w:r>
      <w:r>
        <w:rPr>
          <w:rFonts w:hint="eastAsia" w:asciiTheme="minorEastAsia" w:hAnsiTheme="minorEastAsia" w:eastAsiaTheme="minorEastAsia" w:cstheme="minorEastAsia"/>
          <w:sz w:val="24"/>
        </w:rPr>
        <w:t>理层编制的询证函，以获取关于这些或有事项的专业意见和法律评估。若法律法规禁止直接沟通，应实施替代审计程序。</w:t>
      </w:r>
    </w:p>
    <w:p w14:paraId="0A54B2F0">
      <w:pPr>
        <w:snapToGrid w:val="0"/>
        <w:spacing w:line="360" w:lineRule="auto"/>
        <w:ind w:left="0" w:leftChars="0"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（二）重大承诺、保证、抵押或质押事项</w:t>
      </w:r>
    </w:p>
    <w:p w14:paraId="75DEEE9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当被审计单位存在重大承诺事项，或存在对外提供的保证、抵押、质押等可能影响财务报表的事项，且注册会计师评估为重大错报风险时，应考虑向相关第三方函证，以获取并验证这些信息。</w:t>
      </w:r>
    </w:p>
    <w:p w14:paraId="4528D826">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（三）其他可考虑实施函证的事项</w:t>
      </w:r>
    </w:p>
    <w:p w14:paraId="45CF9CC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除上述列举的重要函证事项外，注册会计师还可根据被审计单位的经营环境、内部控制有效性、账户或交易性质等因素，确定其他可考虑实施函证的事项。例如：</w:t>
      </w:r>
    </w:p>
    <w:p w14:paraId="7DB6E8F2">
      <w:pPr>
        <w:numPr>
          <w:ilvl w:val="255"/>
          <w:numId w:val="0"/>
        </w:numPr>
        <w:snapToGrid w:val="0"/>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1.</w:t>
      </w:r>
      <w:r>
        <w:rPr>
          <w:rFonts w:asciiTheme="minorEastAsia" w:hAnsiTheme="minorEastAsia" w:eastAsiaTheme="minorEastAsia" w:cstheme="minorEastAsia"/>
          <w:b/>
          <w:bCs/>
          <w:sz w:val="24"/>
        </w:rPr>
        <w:t>委托贷款</w:t>
      </w:r>
    </w:p>
    <w:p w14:paraId="542B6E35">
      <w:pPr>
        <w:numPr>
          <w:ilvl w:val="255"/>
          <w:numId w:val="0"/>
        </w:num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若注册会计师已获知某项目为委托贷款性质，但被审计单位无法提供委托贷款合同等法律性文件，或注册会计师对该项目存在疑虑或认为有必要时，应实施函证程序，以证实委托贷款的各项要素，包括贷款金额、期限、利率、担保等关键信息。</w:t>
      </w:r>
    </w:p>
    <w:p w14:paraId="296526C6">
      <w:pPr>
        <w:snapToGrid w:val="0"/>
        <w:spacing w:line="360" w:lineRule="auto"/>
        <w:ind w:firstLine="482" w:firstLineChars="200"/>
        <w:rPr>
          <w:rFonts w:asciiTheme="minorEastAsia" w:hAnsiTheme="minorEastAsia" w:cstheme="minorEastAsia"/>
          <w:b/>
          <w:bCs/>
          <w:sz w:val="24"/>
        </w:rPr>
      </w:pPr>
      <w:r>
        <w:rPr>
          <w:rFonts w:asciiTheme="minorEastAsia" w:hAnsiTheme="minorEastAsia" w:eastAsiaTheme="minorEastAsia" w:cstheme="minorEastAsia"/>
          <w:b/>
          <w:bCs/>
          <w:sz w:val="24"/>
        </w:rPr>
        <w:t>2.重大租赁业务</w:t>
      </w:r>
    </w:p>
    <w:p w14:paraId="0F2B5F82">
      <w:pPr>
        <w:snapToGrid w:val="0"/>
        <w:spacing w:line="360" w:lineRule="auto"/>
        <w:ind w:firstLine="480" w:firstLineChars="200"/>
        <w:rPr>
          <w:rFonts w:asciiTheme="minorEastAsia" w:hAnsiTheme="minorEastAsia" w:cstheme="minorEastAsia"/>
          <w:sz w:val="24"/>
        </w:rPr>
      </w:pPr>
      <w:r>
        <w:rPr>
          <w:rFonts w:asciiTheme="minorEastAsia" w:hAnsiTheme="minorEastAsia" w:eastAsiaTheme="minorEastAsia" w:cstheme="minorEastAsia"/>
          <w:sz w:val="24"/>
        </w:rPr>
        <w:t>对于被审计单位存在的重大租赁业务，若注册会计师认为存在重大错报风险，应考虑向租赁相对方发出函证，核实租赁合同的条款、租金支付情况等相关信息，以确保租赁业务的真实性和合规性。</w:t>
      </w:r>
    </w:p>
    <w:p w14:paraId="42A4ABBA">
      <w:pPr>
        <w:snapToGrid w:val="0"/>
        <w:spacing w:line="360" w:lineRule="auto"/>
        <w:ind w:left="0" w:leftChars="0"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3.往来款项账户余额或其他信息</w:t>
      </w:r>
    </w:p>
    <w:p w14:paraId="58737568">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对除应收账款以外的往来款项账户余额，如应收票据、其他应收款、应付账款、合同负债等，进行函证，以验证其真实性和准确性。</w:t>
      </w:r>
    </w:p>
    <w:p w14:paraId="6E32F206">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4.重大或异常的交易</w:t>
      </w:r>
    </w:p>
    <w:p w14:paraId="67AC9DA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对重大或异常的交易产生怀疑时，向交易相关方核对信息，获取证据。</w:t>
      </w:r>
    </w:p>
    <w:p w14:paraId="54BA93A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（1）</w:t>
      </w:r>
      <w:r>
        <w:rPr>
          <w:rFonts w:hint="eastAsia" w:asciiTheme="minorEastAsia" w:hAnsiTheme="minorEastAsia" w:eastAsiaTheme="minorEastAsia" w:cstheme="minorEastAsia"/>
          <w:sz w:val="24"/>
        </w:rPr>
        <w:t>销售交易函证。在应收账款函证的同时，可对收入的重要内容进行函证，如合同条款、收入实现方式、结算方式及金额等，以验证收入的真实性、完整性和准确性。</w:t>
      </w:r>
    </w:p>
    <w:p w14:paraId="6E31722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（2）</w:t>
      </w:r>
      <w:r>
        <w:rPr>
          <w:rFonts w:hint="eastAsia" w:asciiTheme="minorEastAsia" w:hAnsiTheme="minorEastAsia" w:eastAsiaTheme="minorEastAsia" w:cstheme="minorEastAsia"/>
          <w:sz w:val="24"/>
        </w:rPr>
        <w:t>采购交易函证。在存货盘点的基础上，对采购情况、结算及余额进行函证，如选取合适样本的供应商，对其采购合同的主要条款、采购商品的规格及数量等进行函证，以验证采购的真实性、完整性和准确性。</w:t>
      </w:r>
    </w:p>
    <w:p w14:paraId="2BB1251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（3）</w:t>
      </w:r>
      <w:r>
        <w:rPr>
          <w:rFonts w:hint="eastAsia" w:asciiTheme="minorEastAsia" w:hAnsiTheme="minorEastAsia" w:eastAsiaTheme="minorEastAsia" w:cstheme="minorEastAsia"/>
          <w:sz w:val="24"/>
        </w:rPr>
        <w:t>现金交易函证。对于现金交易占比高或被审计期间存在重大风险或舞弊迹象的现金交易，通过函证程序向交易对方了解情况，验证现金交易金额和内容。</w:t>
      </w:r>
    </w:p>
    <w:p w14:paraId="09F3C1DD">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eastAsiaTheme="minorEastAsia" w:cstheme="minorEastAsia"/>
          <w:sz w:val="24"/>
        </w:rPr>
        <w:t>关联交易。被审计单位与关联方发生的交易性质、金额、定价政策或依据等。</w:t>
      </w:r>
    </w:p>
    <w:p w14:paraId="49651F96">
      <w:pPr>
        <w:snapToGrid w:val="0"/>
        <w:spacing w:line="360" w:lineRule="auto"/>
        <w:ind w:left="0" w:leftChars="0"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5.特定账户余额或其他信息</w:t>
      </w:r>
    </w:p>
    <w:p w14:paraId="5DB7DD8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对以公允价值计量的金融资产或金融负债、长短期借款、长期股权投资等特定账户余额进行函证，以验证其真实性和准确性。</w:t>
      </w:r>
    </w:p>
    <w:p w14:paraId="271DD29D">
      <w:pPr>
        <w:numPr>
          <w:ilvl w:val="255"/>
          <w:numId w:val="0"/>
        </w:numPr>
        <w:snapToGrid w:val="0"/>
        <w:spacing w:line="360" w:lineRule="auto"/>
        <w:ind w:firstLine="482" w:firstLineChars="200"/>
        <w:rPr>
          <w:rFonts w:asciiTheme="minorEastAsia" w:hAnsiTheme="minorEastAsia" w:cstheme="minorEastAsia"/>
          <w:b/>
          <w:bCs/>
          <w:sz w:val="24"/>
        </w:rPr>
      </w:pPr>
      <w:r>
        <w:rPr>
          <w:rFonts w:asciiTheme="minorEastAsia" w:hAnsiTheme="minorEastAsia" w:cstheme="minorEastAsia"/>
          <w:b/>
          <w:bCs/>
          <w:sz w:val="24"/>
        </w:rPr>
        <w:t>6.</w:t>
      </w:r>
      <w:r>
        <w:rPr>
          <w:rFonts w:asciiTheme="minorEastAsia" w:hAnsiTheme="minorEastAsia" w:eastAsiaTheme="minorEastAsia" w:cstheme="minorEastAsia"/>
          <w:b/>
          <w:bCs/>
          <w:sz w:val="24"/>
        </w:rPr>
        <w:t>向特定机构函证</w:t>
      </w:r>
    </w:p>
    <w:p w14:paraId="7E31DBC5">
      <w:pPr>
        <w:numPr>
          <w:ilvl w:val="255"/>
          <w:numId w:val="0"/>
        </w:num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因对被审计单位特定信息准确性产生重大疑虑，注册会计师可考虑向股东、税务机关、海关、社保局等部门进行函证，以获取与审计事项相关的官方信息或确认特定事项的真实性，确保审计结论的全面性和准确性。</w:t>
      </w:r>
    </w:p>
    <w:p w14:paraId="6CA2504B">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三、收集函证基础信息工作底稿</w:t>
      </w:r>
    </w:p>
    <w:p w14:paraId="6BE8BC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银行借款、存款及金融机构往来信息。银行对账单、企业信用报告、《已开立银行结算账户清单》、涉及银行账户情况声明书、借款台账、借款合同、抵押担保合同、理财产品说明书、开户证实书、定期存单、票据备查簿等与银行或金融机构相关安排的协议等。</w:t>
      </w:r>
    </w:p>
    <w:p w14:paraId="65F839C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（二）应收账款及其他往来款项。包括合同台账、交易相关单据等资料。</w:t>
      </w:r>
    </w:p>
    <w:p w14:paraId="37D30804">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（三）其他可能函证事项的相关资料</w:t>
      </w:r>
      <w:r>
        <w:rPr>
          <w:rFonts w:hint="eastAsia" w:asciiTheme="minorEastAsia" w:hAnsiTheme="minorEastAsia" w:cstheme="minorEastAsia"/>
          <w:sz w:val="24"/>
        </w:rPr>
        <w:t>。</w:t>
      </w:r>
    </w:p>
    <w:p w14:paraId="0A47EE4F">
      <w:pPr>
        <w:snapToGrid w:val="0"/>
        <w:spacing w:line="360" w:lineRule="auto"/>
        <w:ind w:firstLine="480" w:firstLineChars="200"/>
        <w:rPr>
          <w:rFonts w:asciiTheme="minorEastAsia" w:hAnsiTheme="minorEastAsia" w:eastAsiaTheme="minorEastAsia" w:cstheme="minorEastAsia"/>
          <w:sz w:val="24"/>
        </w:rPr>
      </w:pPr>
    </w:p>
    <w:p w14:paraId="5DD6FBD5">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49" w:name="_Toc3121"/>
      <w:bookmarkStart w:id="50" w:name="_Toc11316"/>
      <w:bookmarkStart w:id="51" w:name="_Toc4021"/>
      <w:r>
        <w:rPr>
          <w:rFonts w:hint="eastAsia" w:asciiTheme="minorEastAsia" w:hAnsiTheme="minorEastAsia" w:eastAsiaTheme="minorEastAsia" w:cstheme="minorEastAsia"/>
          <w:b/>
          <w:bCs/>
          <w:sz w:val="24"/>
        </w:rPr>
        <w:t>第三节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确定函证项目（样本选择）</w:t>
      </w:r>
      <w:bookmarkEnd w:id="49"/>
      <w:bookmarkEnd w:id="50"/>
      <w:bookmarkEnd w:id="51"/>
    </w:p>
    <w:p w14:paraId="14C49E2B">
      <w:pPr>
        <w:snapToGrid w:val="0"/>
        <w:spacing w:line="360" w:lineRule="auto"/>
        <w:ind w:firstLine="480" w:firstLineChars="200"/>
        <w:rPr>
          <w:rFonts w:asciiTheme="minorEastAsia" w:hAnsiTheme="minorEastAsia" w:cstheme="minorEastAsia"/>
          <w:sz w:val="24"/>
        </w:rPr>
      </w:pPr>
    </w:p>
    <w:p w14:paraId="3D22A6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为使函证程序能有效地实施，注册会计师应当确保总体的完整性，并选择恰当的方法以确定样本规模和选取样本项目。</w:t>
      </w:r>
    </w:p>
    <w:p w14:paraId="7D505141">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一、选取函证项目的总体要求</w:t>
      </w:r>
    </w:p>
    <w:p w14:paraId="3897EFB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注册会计师应根据被审计单位的具体情况和风险评估结果，合理选择函证项目。选取方法应包括选取全部项目、选取特定项目和审计抽样等。</w:t>
      </w:r>
    </w:p>
    <w:p w14:paraId="6AAE468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在使用审计抽样时，应确保样本规模满足审计准则和会计师事务所的质量控制要求。对于未测试的剩余总体，应根据风险评估结果决定是否进一步实施审计程序。</w:t>
      </w:r>
    </w:p>
    <w:p w14:paraId="3E58CED9">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二、银行存款、借款及与金融机构往来的重要信息</w:t>
      </w:r>
    </w:p>
    <w:p w14:paraId="54EDE50F">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（一）账户目标的选择</w:t>
      </w:r>
    </w:p>
    <w:p w14:paraId="73F43E8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银行账户函证对象的选择通过日记账的记录、已开立银行结算账户清单、对账单和企业信用报告及访谈等综合分析选取。</w:t>
      </w:r>
    </w:p>
    <w:p w14:paraId="75D224C3">
      <w:pPr>
        <w:snapToGrid w:val="0"/>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注册会计师应全面函证所有银行账户信息，除非有充分证据表明某些账户不重要且风险低。选择账户时，应综合考虑账户余额、发生额、开立时间、账户类型等因素，不得仅凭余额小、开立时间短等理由排除函证。对于被审计单位提出的以银行对账单替代函证的要求，注册会计师应解释银行对账单无法替代函证程序的作用。</w:t>
      </w:r>
    </w:p>
    <w:p w14:paraId="6D3DFE90">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（二）特殊账户的处理</w:t>
      </w:r>
    </w:p>
    <w:p w14:paraId="680E3BD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零余额账户、已注销账户、专用账户、境外账户等特殊类型账户，注册会计师应给予特别关注，根据账户性质、交易情况及风险水平决定是否函证。在函证前，可与被审计单位沟通，了解账户具体情况，并适当核实对方身份。如注册会计师实施充分的风险评估程序，直接获取到某银行账户对财务报表不重要且重大错报风险很低的充分证据，进而判断该银行账户可以不实施函证程序，注册会计师需要在审计工作底稿中清楚记录职业判断过程、相关原因理由及已执行的除函证之外的审计程序。</w:t>
      </w:r>
    </w:p>
    <w:p w14:paraId="54B6BB84">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三、拟实施函证程序的其他交易或账户余额</w:t>
      </w:r>
    </w:p>
    <w:p w14:paraId="27E388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针对银行存款、借款及与金融机构往来的其他重要信息的函证和针对特定事项的函证外，注册会计师还应根据审计需要，选择其他交易或账户余额进行函证。在选择时，可采用特定项目与审计抽样相结合的方式。</w:t>
      </w:r>
    </w:p>
    <w:p w14:paraId="2F271013">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（一）特定项目的选择</w:t>
      </w:r>
    </w:p>
    <w:p w14:paraId="2BAC476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定项目通常包括金额较大、账龄较长、非预期零余额、已注销的重大账户、预期不会合作的往来账户、交易频繁但期末余额较小的项目、重大关联方交易、重大或异常交易以及可能存在争议或舞弊的交易等。这些项目因其特殊性或风险性，应被纳入函证样本，实施</w:t>
      </w:r>
      <w:r>
        <w:rPr>
          <w:rFonts w:asciiTheme="minorEastAsia" w:hAnsiTheme="minorEastAsia" w:eastAsiaTheme="minorEastAsia" w:cstheme="minorEastAsia"/>
          <w:sz w:val="24"/>
        </w:rPr>
        <w:t xml:space="preserve"> 100% </w:t>
      </w:r>
      <w:r>
        <w:rPr>
          <w:rFonts w:hint="eastAsia" w:asciiTheme="minorEastAsia" w:hAnsiTheme="minorEastAsia" w:eastAsiaTheme="minorEastAsia" w:cstheme="minorEastAsia"/>
          <w:sz w:val="24"/>
        </w:rPr>
        <w:t>函证。</w:t>
      </w:r>
    </w:p>
    <w:p w14:paraId="4978881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（二）审计抽样</w:t>
      </w:r>
    </w:p>
    <w:p w14:paraId="5CDACC3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在确定应实施函证的特定项目后，注册会计师可采用审计抽样方法，在剩余项目中选择代表性项目进行函证。为确保审计抽样的有效性，实务中需结合《中国注册会计师审计准则第</w:t>
      </w:r>
      <w:r>
        <w:rPr>
          <w:rFonts w:asciiTheme="minorEastAsia" w:hAnsiTheme="minorEastAsia" w:eastAsiaTheme="minorEastAsia" w:cstheme="minorEastAsia"/>
          <w:sz w:val="24"/>
        </w:rPr>
        <w:t>1312号——函证》</w:t>
      </w:r>
      <w:r>
        <w:rPr>
          <w:rFonts w:hint="eastAsia" w:asciiTheme="minorEastAsia" w:hAnsiTheme="minorEastAsia" w:cstheme="minorEastAsia"/>
          <w:sz w:val="24"/>
        </w:rPr>
        <w:t>和</w:t>
      </w:r>
      <w:r>
        <w:rPr>
          <w:rFonts w:asciiTheme="minorEastAsia" w:hAnsiTheme="minorEastAsia" w:eastAsiaTheme="minorEastAsia" w:cstheme="minorEastAsia"/>
          <w:sz w:val="24"/>
        </w:rPr>
        <w:t>《中国注册会计师审计准则第1314号——审计抽样》的要求，以及会计师事务所的相关规定，确保程序合规。</w:t>
      </w:r>
    </w:p>
    <w:p w14:paraId="7E328A89">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1.抽样方法</w:t>
      </w:r>
    </w:p>
    <w:p w14:paraId="12F39D0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（1）</w:t>
      </w:r>
      <w:r>
        <w:rPr>
          <w:rFonts w:asciiTheme="minorEastAsia" w:hAnsiTheme="minorEastAsia" w:eastAsiaTheme="minorEastAsia" w:cstheme="minorEastAsia"/>
          <w:sz w:val="24"/>
        </w:rPr>
        <w:t>统计抽样。指随机选取样本项目并且运用概率论评价样本结果，包括计量抽样风险的抽样方法。</w:t>
      </w:r>
    </w:p>
    <w:p w14:paraId="35DCB3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（2）</w:t>
      </w:r>
      <w:r>
        <w:rPr>
          <w:rFonts w:asciiTheme="minorEastAsia" w:hAnsiTheme="minorEastAsia" w:eastAsiaTheme="minorEastAsia" w:cstheme="minorEastAsia"/>
          <w:sz w:val="24"/>
        </w:rPr>
        <w:t>非统计抽样。不同时具体统计抽样特征的抽样方法为非统计抽样。</w:t>
      </w:r>
    </w:p>
    <w:p w14:paraId="0B7ADD9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审计准则没有限制必须采用统计抽样或者非统计抽样。注册会计师可结合经验、技术基础、成本效益原则进行选择。如果注册会计师决定选用统计抽样方法，需要确保同时满足以下两点</w:t>
      </w:r>
      <w:r>
        <w:rPr>
          <w:rFonts w:asciiTheme="minorEastAsia" w:hAnsiTheme="minorEastAsia" w:eastAsiaTheme="minorEastAsia" w:cstheme="minorEastAsia"/>
          <w:sz w:val="24"/>
        </w:rPr>
        <w:t>:</w:t>
      </w:r>
    </w:p>
    <w:p w14:paraId="5427A4C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①</w:t>
      </w:r>
      <w:r>
        <w:rPr>
          <w:rFonts w:hint="eastAsia" w:asciiTheme="minorEastAsia" w:hAnsiTheme="minorEastAsia" w:eastAsiaTheme="minorEastAsia" w:cstheme="minorEastAsia"/>
          <w:sz w:val="24"/>
        </w:rPr>
        <w:t>选取样本时应采用随机选样方法</w:t>
      </w:r>
      <w:r>
        <w:rPr>
          <w:rFonts w:hint="eastAsia" w:asciiTheme="minorEastAsia" w:hAnsiTheme="minorEastAsia" w:cstheme="minorEastAsia"/>
          <w:sz w:val="24"/>
        </w:rPr>
        <w:t>；</w:t>
      </w:r>
    </w:p>
    <w:p w14:paraId="18C99CF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②</w:t>
      </w:r>
      <w:r>
        <w:rPr>
          <w:rFonts w:hint="eastAsia" w:asciiTheme="minorEastAsia" w:hAnsiTheme="minorEastAsia" w:eastAsiaTheme="minorEastAsia" w:cstheme="minorEastAsia"/>
          <w:sz w:val="24"/>
        </w:rPr>
        <w:t>运用概率论评价样本结果、计量抽样风险。</w:t>
      </w:r>
    </w:p>
    <w:p w14:paraId="5CE0546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同时满足这两点，则属于非统计抽样。需要注意的是非统计抽样虽然不要求用概率论评价或计量抽样风险，但仍然需要将样本推断至总体，根据专业判断评价样本和抽样风险。在使用非统计抽样时，也可采用统计抽样的方法确定样本规模和推算错报。</w:t>
      </w:r>
    </w:p>
    <w:p w14:paraId="7A06F7BC">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2.抽样步骤</w:t>
      </w:r>
    </w:p>
    <w:p w14:paraId="07E44B5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1）定义总体和抽样单元</w:t>
      </w:r>
    </w:p>
    <w:p w14:paraId="37C198C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在确定函证抽样总体时，对特定项目因其特殊性或风险性，实施</w:t>
      </w:r>
      <w:r>
        <w:rPr>
          <w:rFonts w:asciiTheme="minorEastAsia" w:hAnsiTheme="minorEastAsia" w:eastAsiaTheme="minorEastAsia" w:cstheme="minorEastAsia"/>
          <w:sz w:val="24"/>
        </w:rPr>
        <w:t>100%</w:t>
      </w:r>
      <w:r>
        <w:rPr>
          <w:rFonts w:hint="eastAsia" w:asciiTheme="minorEastAsia" w:hAnsiTheme="minorEastAsia" w:eastAsiaTheme="minorEastAsia" w:cstheme="minorEastAsia"/>
          <w:sz w:val="24"/>
        </w:rPr>
        <w:t>函证，注册会计师可以从总体剔除特定项目以及极不重要项目</w:t>
      </w:r>
      <w:r>
        <w:rPr>
          <w:rFonts w:asciiTheme="minorEastAsia" w:hAnsiTheme="minorEastAsia" w:eastAsiaTheme="minorEastAsia" w:cstheme="minorEastAsia"/>
          <w:sz w:val="24"/>
        </w:rPr>
        <w:t>(</w:t>
      </w:r>
      <w:bookmarkStart w:id="52" w:name="OLE_LINK1"/>
      <w:r>
        <w:rPr>
          <w:rFonts w:hint="eastAsia" w:asciiTheme="minorEastAsia" w:hAnsiTheme="minorEastAsia" w:eastAsiaTheme="minorEastAsia" w:cstheme="minorEastAsia"/>
          <w:sz w:val="24"/>
        </w:rPr>
        <w:t>通常</w:t>
      </w:r>
      <w:bookmarkEnd w:id="52"/>
      <w:r>
        <w:rPr>
          <w:rFonts w:hint="eastAsia" w:asciiTheme="minorEastAsia" w:hAnsiTheme="minorEastAsia" w:eastAsiaTheme="minorEastAsia" w:cstheme="minorEastAsia"/>
          <w:sz w:val="24"/>
        </w:rPr>
        <w:t>等于或小于重要性水平的明显微小错报临界值</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，对剩余总体进行抽样。</w:t>
      </w:r>
    </w:p>
    <w:p w14:paraId="5FA78B47">
      <w:pPr>
        <w:snapToGrid w:val="0"/>
        <w:spacing w:after="156" w:afterLines="50"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例如：注册会计师对某公司审计时，截至</w:t>
      </w:r>
      <w:r>
        <w:rPr>
          <w:rFonts w:asciiTheme="minorEastAsia" w:hAnsiTheme="minorEastAsia" w:eastAsiaTheme="minorEastAsia" w:cstheme="minorEastAsia"/>
          <w:sz w:val="24"/>
        </w:rPr>
        <w:t>202X年12</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31日剔除贷方余额账户和零余额账户应收账款共有明细账户1500个，合计金额20000</w:t>
      </w:r>
      <w:r>
        <w:rPr>
          <w:rFonts w:hint="eastAsia" w:asciiTheme="minorEastAsia" w:hAnsiTheme="minorEastAsia" w:eastAsiaTheme="minorEastAsia" w:cstheme="minorEastAsia"/>
          <w:sz w:val="24"/>
        </w:rPr>
        <w:t>万元。其中，对账面金额在</w:t>
      </w:r>
      <w:r>
        <w:rPr>
          <w:rFonts w:asciiTheme="minorEastAsia" w:hAnsiTheme="minorEastAsia" w:eastAsiaTheme="minorEastAsia" w:cstheme="minorEastAsia"/>
          <w:sz w:val="24"/>
        </w:rPr>
        <w:t>100</w:t>
      </w:r>
      <w:r>
        <w:rPr>
          <w:rFonts w:hint="eastAsia" w:asciiTheme="minorEastAsia" w:hAnsiTheme="minorEastAsia" w:eastAsiaTheme="minorEastAsia" w:cstheme="minorEastAsia"/>
          <w:sz w:val="24"/>
        </w:rPr>
        <w:t>万元</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实际执行重要性水平为</w:t>
      </w:r>
      <w:r>
        <w:rPr>
          <w:rFonts w:asciiTheme="minorEastAsia" w:hAnsiTheme="minorEastAsia" w:eastAsiaTheme="minorEastAsia" w:cstheme="minorEastAsia"/>
          <w:sz w:val="24"/>
        </w:rPr>
        <w:t>100</w:t>
      </w:r>
      <w:r>
        <w:rPr>
          <w:rFonts w:hint="eastAsia" w:asciiTheme="minorEastAsia" w:hAnsiTheme="minorEastAsia" w:eastAsiaTheme="minorEastAsia" w:cstheme="minorEastAsia"/>
          <w:sz w:val="24"/>
        </w:rPr>
        <w:t>万</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以上的重大应收账款全部函证</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对账面金额在</w:t>
      </w:r>
      <w:r>
        <w:rPr>
          <w:rFonts w:asciiTheme="minorEastAsia" w:hAnsiTheme="minorEastAsia" w:eastAsiaTheme="minorEastAsia" w:cstheme="minorEastAsia"/>
          <w:sz w:val="24"/>
        </w:rPr>
        <w:t>5万元以下的极不重要应收账款不实施函证程序;</w:t>
      </w:r>
      <w:r>
        <w:rPr>
          <w:rFonts w:hint="eastAsia" w:asciiTheme="minorEastAsia" w:hAnsiTheme="minorEastAsia" w:eastAsiaTheme="minorEastAsia" w:cstheme="minorEastAsia"/>
          <w:sz w:val="24"/>
        </w:rPr>
        <w:t>对剔除</w:t>
      </w:r>
      <w:r>
        <w:rPr>
          <w:rFonts w:hint="eastAsia" w:asciiTheme="minorEastAsia" w:hAnsiTheme="minorEastAsia" w:eastAsiaTheme="minorEastAsia" w:cstheme="minorEastAsia"/>
          <w:sz w:val="24"/>
        </w:rPr>
        <w:t>单</w:t>
      </w:r>
      <w:r>
        <w:rPr>
          <w:rFonts w:hint="eastAsia" w:asciiTheme="minorEastAsia" w:hAnsiTheme="minorEastAsia" w:eastAsiaTheme="minorEastAsia" w:cstheme="minorEastAsia"/>
          <w:color w:val="auto"/>
          <w:sz w:val="24"/>
        </w:rPr>
        <w:t>项</w:t>
      </w:r>
      <w:r>
        <w:rPr>
          <w:rFonts w:hint="eastAsia" w:asciiTheme="minorEastAsia" w:hAnsiTheme="minorEastAsia" w:eastAsiaTheme="minorEastAsia" w:cstheme="minorEastAsia"/>
          <w:sz w:val="24"/>
        </w:rPr>
        <w:t>重大项目和极不重要项目之后的应收账款余额进行审计抽样。底稿示例如下：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1647"/>
        <w:gridCol w:w="1740"/>
        <w:gridCol w:w="3239"/>
      </w:tblGrid>
      <w:tr w14:paraId="249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08" w:type="dxa"/>
            <w:vAlign w:val="center"/>
          </w:tcPr>
          <w:p w14:paraId="1AF9AEC0">
            <w:pPr>
              <w:widowControl/>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kern w:val="0"/>
                <w:szCs w:val="21"/>
              </w:rPr>
              <w:t>项</w:t>
            </w:r>
            <w:r>
              <w:rPr>
                <w:rFonts w:asciiTheme="minorEastAsia" w:hAnsiTheme="minorEastAsia" w:cstheme="minorEastAsia"/>
                <w:b/>
                <w:bCs/>
                <w:kern w:val="0"/>
                <w:szCs w:val="21"/>
              </w:rPr>
              <w:t xml:space="preserve"> </w:t>
            </w:r>
            <w:r>
              <w:rPr>
                <w:rFonts w:hint="eastAsia" w:asciiTheme="minorEastAsia" w:hAnsiTheme="minorEastAsia" w:cstheme="minorEastAsia"/>
                <w:b/>
                <w:bCs/>
                <w:kern w:val="0"/>
                <w:szCs w:val="21"/>
              </w:rPr>
              <w:t>目</w:t>
            </w:r>
          </w:p>
        </w:tc>
        <w:tc>
          <w:tcPr>
            <w:tcW w:w="1647" w:type="dxa"/>
            <w:vAlign w:val="center"/>
          </w:tcPr>
          <w:p w14:paraId="189D07B3">
            <w:pPr>
              <w:widowControl/>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kern w:val="0"/>
                <w:szCs w:val="21"/>
              </w:rPr>
              <w:t>金额（万元）</w:t>
            </w:r>
          </w:p>
        </w:tc>
        <w:tc>
          <w:tcPr>
            <w:tcW w:w="1740" w:type="dxa"/>
            <w:vAlign w:val="center"/>
          </w:tcPr>
          <w:p w14:paraId="2621A9BD">
            <w:pPr>
              <w:widowControl/>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kern w:val="0"/>
                <w:szCs w:val="21"/>
              </w:rPr>
              <w:t>项目数量（个）</w:t>
            </w:r>
          </w:p>
        </w:tc>
        <w:tc>
          <w:tcPr>
            <w:tcW w:w="3239" w:type="dxa"/>
          </w:tcPr>
          <w:p w14:paraId="450BF9B9">
            <w:pPr>
              <w:snapToGrid w:val="0"/>
              <w:spacing w:line="340" w:lineRule="exact"/>
              <w:jc w:val="center"/>
              <w:rPr>
                <w:rFonts w:asciiTheme="minorEastAsia" w:hAnsiTheme="minorEastAsia" w:cstheme="minorEastAsia"/>
                <w:b/>
                <w:bCs/>
                <w:sz w:val="21"/>
                <w:szCs w:val="21"/>
              </w:rPr>
            </w:pPr>
            <w:r>
              <w:rPr>
                <w:rFonts w:hint="eastAsia" w:asciiTheme="minorEastAsia" w:hAnsiTheme="minorEastAsia" w:cstheme="minorEastAsia"/>
                <w:b/>
                <w:bCs/>
                <w:kern w:val="0"/>
                <w:szCs w:val="21"/>
              </w:rPr>
              <w:t>备</w:t>
            </w:r>
            <w:r>
              <w:rPr>
                <w:rFonts w:asciiTheme="minorEastAsia" w:hAnsiTheme="minorEastAsia" w:cstheme="minorEastAsia"/>
                <w:b/>
                <w:bCs/>
                <w:kern w:val="0"/>
                <w:szCs w:val="21"/>
              </w:rPr>
              <w:t xml:space="preserve">  </w:t>
            </w:r>
            <w:r>
              <w:rPr>
                <w:rFonts w:hint="eastAsia" w:asciiTheme="minorEastAsia" w:hAnsiTheme="minorEastAsia" w:cstheme="minorEastAsia"/>
                <w:b/>
                <w:bCs/>
                <w:kern w:val="0"/>
                <w:szCs w:val="21"/>
              </w:rPr>
              <w:t>注</w:t>
            </w:r>
          </w:p>
        </w:tc>
      </w:tr>
      <w:tr w14:paraId="71B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31108CCA">
            <w:pPr>
              <w:widowControl/>
              <w:snapToGrid w:val="0"/>
              <w:spacing w:line="340" w:lineRule="exact"/>
              <w:jc w:val="left"/>
              <w:rPr>
                <w:rFonts w:asciiTheme="minorEastAsia" w:hAnsiTheme="minorEastAsia" w:cstheme="minorEastAsia"/>
                <w:sz w:val="21"/>
                <w:szCs w:val="21"/>
              </w:rPr>
            </w:pPr>
            <w:r>
              <w:rPr>
                <w:rFonts w:hint="eastAsia" w:asciiTheme="minorEastAsia" w:hAnsiTheme="minorEastAsia" w:cstheme="minorEastAsia"/>
                <w:kern w:val="0"/>
                <w:szCs w:val="21"/>
              </w:rPr>
              <w:t>总体（扣除特定项目前）</w:t>
            </w:r>
          </w:p>
        </w:tc>
        <w:tc>
          <w:tcPr>
            <w:tcW w:w="1647" w:type="dxa"/>
            <w:vAlign w:val="center"/>
          </w:tcPr>
          <w:p w14:paraId="5C746418">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20,000.00</w:t>
            </w:r>
          </w:p>
        </w:tc>
        <w:tc>
          <w:tcPr>
            <w:tcW w:w="1740" w:type="dxa"/>
            <w:vAlign w:val="center"/>
          </w:tcPr>
          <w:p w14:paraId="1325CC69">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1,500</w:t>
            </w:r>
          </w:p>
        </w:tc>
        <w:tc>
          <w:tcPr>
            <w:tcW w:w="3239" w:type="dxa"/>
          </w:tcPr>
          <w:p w14:paraId="11BF2C67">
            <w:pPr>
              <w:snapToGrid w:val="0"/>
              <w:spacing w:line="340" w:lineRule="exact"/>
              <w:rPr>
                <w:rFonts w:asciiTheme="minorEastAsia" w:hAnsiTheme="minorEastAsia" w:cstheme="minorEastAsia"/>
                <w:sz w:val="21"/>
                <w:szCs w:val="21"/>
              </w:rPr>
            </w:pPr>
            <w:r>
              <w:rPr>
                <w:rFonts w:hint="eastAsia" w:asciiTheme="minorEastAsia" w:hAnsiTheme="minorEastAsia" w:cstheme="minorEastAsia"/>
                <w:kern w:val="0"/>
                <w:szCs w:val="21"/>
              </w:rPr>
              <w:t>截至202X年12月31日的应收账款的账面金额、客户数量</w:t>
            </w:r>
          </w:p>
        </w:tc>
      </w:tr>
      <w:tr w14:paraId="4CD2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223902D7">
            <w:pPr>
              <w:widowControl/>
              <w:snapToGrid w:val="0"/>
              <w:spacing w:line="340" w:lineRule="exact"/>
              <w:jc w:val="left"/>
              <w:rPr>
                <w:rFonts w:asciiTheme="minorEastAsia" w:hAnsiTheme="minorEastAsia" w:cstheme="minorEastAsia"/>
                <w:sz w:val="21"/>
                <w:szCs w:val="21"/>
              </w:rPr>
            </w:pPr>
            <w:r>
              <w:rPr>
                <w:rFonts w:hint="eastAsia" w:asciiTheme="minorEastAsia" w:hAnsiTheme="minorEastAsia" w:cstheme="minorEastAsia"/>
                <w:kern w:val="0"/>
                <w:szCs w:val="21"/>
              </w:rPr>
              <w:t>减：总体中金额重大的项目</w:t>
            </w:r>
          </w:p>
        </w:tc>
        <w:tc>
          <w:tcPr>
            <w:tcW w:w="1647" w:type="dxa"/>
            <w:vAlign w:val="center"/>
          </w:tcPr>
          <w:p w14:paraId="3F551730">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3,000.00</w:t>
            </w:r>
          </w:p>
        </w:tc>
        <w:tc>
          <w:tcPr>
            <w:tcW w:w="1740" w:type="dxa"/>
            <w:vAlign w:val="center"/>
          </w:tcPr>
          <w:p w14:paraId="57B701E1">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20</w:t>
            </w:r>
          </w:p>
        </w:tc>
        <w:tc>
          <w:tcPr>
            <w:tcW w:w="3239" w:type="dxa"/>
          </w:tcPr>
          <w:p w14:paraId="4D18C4E5">
            <w:pPr>
              <w:snapToGrid w:val="0"/>
              <w:spacing w:line="340" w:lineRule="exact"/>
              <w:rPr>
                <w:rFonts w:asciiTheme="minorEastAsia" w:hAnsiTheme="minorEastAsia" w:cstheme="minorEastAsia"/>
                <w:sz w:val="21"/>
                <w:szCs w:val="21"/>
              </w:rPr>
            </w:pPr>
            <w:r>
              <w:rPr>
                <w:rFonts w:hint="eastAsia" w:asciiTheme="minorEastAsia" w:hAnsiTheme="minorEastAsia" w:cstheme="minorEastAsia"/>
                <w:kern w:val="0"/>
                <w:szCs w:val="21"/>
              </w:rPr>
              <w:t>判断标准：单项金额≧100万元，超过可容忍错报</w:t>
            </w:r>
          </w:p>
        </w:tc>
      </w:tr>
      <w:tr w14:paraId="3F81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4A01A4A5">
            <w:pPr>
              <w:widowControl/>
              <w:snapToGrid w:val="0"/>
              <w:spacing w:line="340" w:lineRule="exact"/>
              <w:jc w:val="left"/>
              <w:rPr>
                <w:rFonts w:asciiTheme="minorEastAsia" w:hAnsiTheme="minorEastAsia" w:cstheme="minorEastAsia"/>
                <w:sz w:val="21"/>
                <w:szCs w:val="21"/>
              </w:rPr>
            </w:pPr>
            <w:r>
              <w:rPr>
                <w:rFonts w:hint="eastAsia" w:asciiTheme="minorEastAsia" w:hAnsiTheme="minorEastAsia" w:cstheme="minorEastAsia"/>
                <w:kern w:val="0"/>
                <w:szCs w:val="21"/>
              </w:rPr>
              <w:t>总体中性质特殊的重大项目</w:t>
            </w:r>
          </w:p>
        </w:tc>
        <w:tc>
          <w:tcPr>
            <w:tcW w:w="1647" w:type="dxa"/>
            <w:vAlign w:val="center"/>
          </w:tcPr>
          <w:p w14:paraId="7F02D270">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50.00</w:t>
            </w:r>
          </w:p>
        </w:tc>
        <w:tc>
          <w:tcPr>
            <w:tcW w:w="1740" w:type="dxa"/>
            <w:vAlign w:val="center"/>
          </w:tcPr>
          <w:p w14:paraId="21C85CC5">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2</w:t>
            </w:r>
          </w:p>
        </w:tc>
        <w:tc>
          <w:tcPr>
            <w:tcW w:w="3239" w:type="dxa"/>
          </w:tcPr>
          <w:p w14:paraId="66442EE8">
            <w:pPr>
              <w:snapToGrid w:val="0"/>
              <w:spacing w:line="340" w:lineRule="exact"/>
              <w:rPr>
                <w:rFonts w:asciiTheme="minorEastAsia" w:hAnsiTheme="minorEastAsia" w:cstheme="minorEastAsia"/>
                <w:sz w:val="21"/>
                <w:szCs w:val="21"/>
              </w:rPr>
            </w:pPr>
            <w:r>
              <w:rPr>
                <w:rFonts w:hint="eastAsia" w:asciiTheme="minorEastAsia" w:hAnsiTheme="minorEastAsia" w:cstheme="minorEastAsia"/>
                <w:kern w:val="0"/>
                <w:szCs w:val="21"/>
              </w:rPr>
              <w:t>判断标准：重大关联方交易、交易频繁但期末余额较小</w:t>
            </w:r>
          </w:p>
        </w:tc>
      </w:tr>
      <w:tr w14:paraId="26DA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10307544">
            <w:pPr>
              <w:widowControl/>
              <w:snapToGrid w:val="0"/>
              <w:spacing w:line="340" w:lineRule="exact"/>
              <w:jc w:val="left"/>
              <w:rPr>
                <w:rFonts w:asciiTheme="minorEastAsia" w:hAnsiTheme="minorEastAsia" w:cstheme="minorEastAsia"/>
                <w:sz w:val="21"/>
                <w:szCs w:val="21"/>
              </w:rPr>
            </w:pPr>
            <w:r>
              <w:rPr>
                <w:rFonts w:hint="eastAsia" w:asciiTheme="minorEastAsia" w:hAnsiTheme="minorEastAsia" w:cstheme="minorEastAsia"/>
                <w:kern w:val="0"/>
                <w:szCs w:val="21"/>
              </w:rPr>
              <w:t>总体中极不重要项目</w:t>
            </w:r>
          </w:p>
        </w:tc>
        <w:tc>
          <w:tcPr>
            <w:tcW w:w="1647" w:type="dxa"/>
            <w:vAlign w:val="center"/>
          </w:tcPr>
          <w:p w14:paraId="4F4C1BBC">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500.00</w:t>
            </w:r>
          </w:p>
        </w:tc>
        <w:tc>
          <w:tcPr>
            <w:tcW w:w="1740" w:type="dxa"/>
            <w:vAlign w:val="center"/>
          </w:tcPr>
          <w:p w14:paraId="12314726">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178</w:t>
            </w:r>
          </w:p>
        </w:tc>
        <w:tc>
          <w:tcPr>
            <w:tcW w:w="3239" w:type="dxa"/>
          </w:tcPr>
          <w:p w14:paraId="29A55BDA">
            <w:pPr>
              <w:snapToGrid w:val="0"/>
              <w:spacing w:line="340" w:lineRule="exact"/>
              <w:rPr>
                <w:rFonts w:asciiTheme="minorEastAsia" w:hAnsiTheme="minorEastAsia" w:cstheme="minorEastAsia"/>
                <w:sz w:val="21"/>
                <w:szCs w:val="21"/>
              </w:rPr>
            </w:pPr>
            <w:r>
              <w:rPr>
                <w:rFonts w:hint="eastAsia" w:asciiTheme="minorEastAsia" w:hAnsiTheme="minorEastAsia" w:cstheme="minorEastAsia"/>
                <w:kern w:val="0"/>
                <w:szCs w:val="21"/>
              </w:rPr>
              <w:t>判断标准：单项金额&lt;5万元，低于明显微小错报临界值</w:t>
            </w:r>
          </w:p>
        </w:tc>
      </w:tr>
      <w:tr w14:paraId="022F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Align w:val="center"/>
          </w:tcPr>
          <w:p w14:paraId="713C98D8">
            <w:pPr>
              <w:widowControl/>
              <w:snapToGrid w:val="0"/>
              <w:spacing w:line="340" w:lineRule="exact"/>
              <w:jc w:val="left"/>
              <w:rPr>
                <w:rFonts w:asciiTheme="minorEastAsia" w:hAnsiTheme="minorEastAsia" w:cstheme="minorEastAsia"/>
                <w:sz w:val="21"/>
                <w:szCs w:val="21"/>
              </w:rPr>
            </w:pPr>
            <w:r>
              <w:rPr>
                <w:rFonts w:hint="eastAsia" w:asciiTheme="minorEastAsia" w:hAnsiTheme="minorEastAsia" w:cstheme="minorEastAsia"/>
                <w:kern w:val="0"/>
                <w:szCs w:val="21"/>
              </w:rPr>
              <w:t>待抽样的测试总体（扣除特定项目后）</w:t>
            </w:r>
          </w:p>
        </w:tc>
        <w:tc>
          <w:tcPr>
            <w:tcW w:w="1647" w:type="dxa"/>
            <w:vAlign w:val="center"/>
          </w:tcPr>
          <w:p w14:paraId="1E11856C">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16,450.00</w:t>
            </w:r>
          </w:p>
        </w:tc>
        <w:tc>
          <w:tcPr>
            <w:tcW w:w="1740" w:type="dxa"/>
            <w:vAlign w:val="center"/>
          </w:tcPr>
          <w:p w14:paraId="1E8B524E">
            <w:pPr>
              <w:widowControl/>
              <w:snapToGrid w:val="0"/>
              <w:spacing w:line="340" w:lineRule="exact"/>
              <w:ind w:right="0" w:rightChars="0"/>
              <w:jc w:val="center"/>
              <w:rPr>
                <w:rFonts w:asciiTheme="minorEastAsia" w:hAnsiTheme="minorEastAsia" w:cstheme="minorEastAsia"/>
                <w:sz w:val="21"/>
                <w:szCs w:val="21"/>
              </w:rPr>
            </w:pPr>
            <w:r>
              <w:rPr>
                <w:rFonts w:hint="eastAsia" w:asciiTheme="minorEastAsia" w:hAnsiTheme="minorEastAsia" w:cstheme="minorEastAsia"/>
                <w:szCs w:val="21"/>
              </w:rPr>
              <w:t>1,300</w:t>
            </w:r>
          </w:p>
        </w:tc>
        <w:tc>
          <w:tcPr>
            <w:tcW w:w="3239" w:type="dxa"/>
          </w:tcPr>
          <w:p w14:paraId="65E06CDB">
            <w:pPr>
              <w:snapToGrid w:val="0"/>
              <w:spacing w:line="340" w:lineRule="exact"/>
              <w:rPr>
                <w:rFonts w:asciiTheme="minorEastAsia" w:hAnsiTheme="minorEastAsia" w:cstheme="minorEastAsia"/>
                <w:sz w:val="21"/>
                <w:szCs w:val="21"/>
              </w:rPr>
            </w:pPr>
          </w:p>
        </w:tc>
      </w:tr>
    </w:tbl>
    <w:p w14:paraId="5223BA3B">
      <w:pPr>
        <w:spacing w:before="156"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2）确定样本规模</w:t>
      </w:r>
    </w:p>
    <w:p w14:paraId="54033046">
      <w:pPr>
        <w:snapToGrid w:val="0"/>
        <w:spacing w:line="360" w:lineRule="auto"/>
        <w:ind w:firstLine="480" w:firstLineChars="200"/>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在确定样本规模时，注册会计师应当考虑能否将抽样风险降至可接受的低水平。样本规模受注册会计师可接受的抽样风险水平的影响；可接受的风险水平越低，需要的样本规模越大。</w:t>
      </w:r>
    </w:p>
    <w:tbl>
      <w:tblPr>
        <w:tblStyle w:val="12"/>
        <w:tblpPr w:leftFromText="180" w:rightFromText="180" w:vertAnchor="text" w:horzAnchor="page" w:tblpX="1782" w:tblpY="176"/>
        <w:tblOverlap w:val="never"/>
        <w:tblW w:w="4855" w:type="pct"/>
        <w:tblInd w:w="0" w:type="dxa"/>
        <w:tblLayout w:type="autofit"/>
        <w:tblCellMar>
          <w:top w:w="0" w:type="dxa"/>
          <w:left w:w="108" w:type="dxa"/>
          <w:bottom w:w="0" w:type="dxa"/>
          <w:right w:w="108" w:type="dxa"/>
        </w:tblCellMar>
      </w:tblPr>
      <w:tblGrid>
        <w:gridCol w:w="1915"/>
        <w:gridCol w:w="6663"/>
      </w:tblGrid>
      <w:tr w14:paraId="1C91A05F">
        <w:tblPrEx>
          <w:tblCellMar>
            <w:top w:w="0" w:type="dxa"/>
            <w:left w:w="108" w:type="dxa"/>
            <w:bottom w:w="0" w:type="dxa"/>
            <w:right w:w="108" w:type="dxa"/>
          </w:tblCellMar>
        </w:tblPrEx>
        <w:trPr>
          <w:trHeight w:val="479" w:hRule="atLeast"/>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0E6C9CB6">
            <w:pPr>
              <w:widowControl/>
              <w:snapToGrid w:val="0"/>
              <w:spacing w:line="320" w:lineRule="exact"/>
              <w:jc w:val="center"/>
              <w:textAlignment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影响因素</w:t>
            </w:r>
          </w:p>
        </w:tc>
        <w:tc>
          <w:tcPr>
            <w:tcW w:w="3883" w:type="pct"/>
            <w:tcBorders>
              <w:top w:val="single" w:color="auto" w:sz="4" w:space="0"/>
              <w:left w:val="single" w:color="auto" w:sz="4" w:space="0"/>
              <w:bottom w:val="single" w:color="auto" w:sz="4" w:space="0"/>
              <w:right w:val="single" w:color="auto" w:sz="4" w:space="0"/>
            </w:tcBorders>
            <w:shd w:val="clear" w:color="auto" w:fill="auto"/>
            <w:vAlign w:val="center"/>
          </w:tcPr>
          <w:p w14:paraId="428F1E1F">
            <w:pPr>
              <w:widowControl/>
              <w:snapToGrid w:val="0"/>
              <w:spacing w:line="320" w:lineRule="exact"/>
              <w:jc w:val="center"/>
              <w:textAlignment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kern w:val="0"/>
                <w:szCs w:val="21"/>
                <w:lang w:bidi="ar"/>
              </w:rPr>
              <w:t>具体说明</w:t>
            </w:r>
          </w:p>
        </w:tc>
      </w:tr>
      <w:tr w14:paraId="17D951C9">
        <w:tblPrEx>
          <w:tblCellMar>
            <w:top w:w="0" w:type="dxa"/>
            <w:left w:w="108" w:type="dxa"/>
            <w:bottom w:w="0" w:type="dxa"/>
            <w:right w:w="108" w:type="dxa"/>
          </w:tblCellMar>
        </w:tblPrEx>
        <w:trPr>
          <w:trHeight w:val="639" w:hRule="atLeast"/>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1994DDF2">
            <w:pPr>
              <w:widowControl/>
              <w:snapToGrid w:val="0"/>
              <w:spacing w:line="320" w:lineRule="exact"/>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可接受的信赖过度风险</w:t>
            </w:r>
          </w:p>
        </w:tc>
        <w:tc>
          <w:tcPr>
            <w:tcW w:w="3883" w:type="pct"/>
            <w:tcBorders>
              <w:top w:val="single" w:color="auto" w:sz="4" w:space="0"/>
              <w:left w:val="single" w:color="auto" w:sz="4" w:space="0"/>
              <w:bottom w:val="single" w:color="auto" w:sz="4" w:space="0"/>
              <w:right w:val="single" w:color="auto" w:sz="4" w:space="0"/>
            </w:tcBorders>
            <w:shd w:val="clear" w:color="auto" w:fill="auto"/>
            <w:vAlign w:val="center"/>
          </w:tcPr>
          <w:p w14:paraId="3ED8AAD8">
            <w:pPr>
              <w:widowControl/>
              <w:snapToGrid w:val="0"/>
              <w:spacing w:line="320" w:lineRule="exact"/>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可接受信赖过度风险越低（如高风险领域），样本规模越大。例如设定为</w:t>
            </w:r>
            <w:r>
              <w:rPr>
                <w:rFonts w:asciiTheme="minorEastAsia" w:hAnsiTheme="minorEastAsia" w:eastAsiaTheme="minorEastAsia" w:cstheme="minorEastAsia"/>
                <w:color w:val="auto"/>
                <w:kern w:val="0"/>
                <w:szCs w:val="21"/>
                <w:lang w:bidi="ar"/>
              </w:rPr>
              <w:t>5%-10%。</w:t>
            </w:r>
          </w:p>
        </w:tc>
      </w:tr>
      <w:tr w14:paraId="62406D20">
        <w:tblPrEx>
          <w:tblCellMar>
            <w:top w:w="0" w:type="dxa"/>
            <w:left w:w="108" w:type="dxa"/>
            <w:bottom w:w="0" w:type="dxa"/>
            <w:right w:w="108" w:type="dxa"/>
          </w:tblCellMar>
        </w:tblPrEx>
        <w:trPr>
          <w:trHeight w:val="715" w:hRule="atLeast"/>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70DDE9C2">
            <w:pPr>
              <w:widowControl/>
              <w:snapToGrid w:val="0"/>
              <w:spacing w:line="320" w:lineRule="exact"/>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可容忍误差</w:t>
            </w:r>
          </w:p>
        </w:tc>
        <w:tc>
          <w:tcPr>
            <w:tcW w:w="3883" w:type="pct"/>
            <w:tcBorders>
              <w:top w:val="single" w:color="auto" w:sz="4" w:space="0"/>
              <w:left w:val="single" w:color="auto" w:sz="4" w:space="0"/>
              <w:bottom w:val="single" w:color="auto" w:sz="4" w:space="0"/>
              <w:right w:val="single" w:color="auto" w:sz="4" w:space="0"/>
            </w:tcBorders>
            <w:shd w:val="clear" w:color="auto" w:fill="auto"/>
            <w:vAlign w:val="center"/>
          </w:tcPr>
          <w:p w14:paraId="0F613157">
            <w:pPr>
              <w:widowControl/>
              <w:snapToGrid w:val="0"/>
              <w:spacing w:line="320" w:lineRule="exact"/>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允许的最大误差金额</w:t>
            </w:r>
            <w:r>
              <w:rPr>
                <w:rFonts w:asciiTheme="minorEastAsia" w:hAnsiTheme="minorEastAsia" w:eastAsiaTheme="minorEastAsia" w:cstheme="minorEastAsia"/>
                <w:color w:val="auto"/>
                <w:kern w:val="0"/>
                <w:szCs w:val="21"/>
                <w:lang w:bidi="ar"/>
              </w:rPr>
              <w:t>/比例，与样本规模成反比（如可容忍误差越小，样本量越大）。</w:t>
            </w:r>
          </w:p>
        </w:tc>
      </w:tr>
      <w:tr w14:paraId="3459D0CB">
        <w:tblPrEx>
          <w:tblCellMar>
            <w:top w:w="0" w:type="dxa"/>
            <w:left w:w="108" w:type="dxa"/>
            <w:bottom w:w="0" w:type="dxa"/>
            <w:right w:w="108" w:type="dxa"/>
          </w:tblCellMar>
        </w:tblPrEx>
        <w:trPr>
          <w:trHeight w:val="696" w:hRule="atLeast"/>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168F4E2D">
            <w:pPr>
              <w:widowControl/>
              <w:snapToGrid w:val="0"/>
              <w:spacing w:line="320" w:lineRule="exact"/>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预期总体误差</w:t>
            </w:r>
          </w:p>
        </w:tc>
        <w:tc>
          <w:tcPr>
            <w:tcW w:w="3883" w:type="pct"/>
            <w:tcBorders>
              <w:top w:val="single" w:color="auto" w:sz="4" w:space="0"/>
              <w:left w:val="single" w:color="auto" w:sz="4" w:space="0"/>
              <w:bottom w:val="single" w:color="auto" w:sz="4" w:space="0"/>
              <w:right w:val="single" w:color="auto" w:sz="4" w:space="0"/>
            </w:tcBorders>
            <w:shd w:val="clear" w:color="auto" w:fill="auto"/>
            <w:vAlign w:val="center"/>
          </w:tcPr>
          <w:p w14:paraId="2FE492C2">
            <w:pPr>
              <w:widowControl/>
              <w:snapToGrid w:val="0"/>
              <w:spacing w:line="320" w:lineRule="exact"/>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预计总体中存在的误差金额</w:t>
            </w:r>
            <w:r>
              <w:rPr>
                <w:rFonts w:asciiTheme="minorEastAsia" w:hAnsiTheme="minorEastAsia" w:eastAsiaTheme="minorEastAsia" w:cstheme="minorEastAsia"/>
                <w:color w:val="auto"/>
                <w:kern w:val="0"/>
                <w:szCs w:val="21"/>
                <w:lang w:bidi="ar"/>
              </w:rPr>
              <w:t>/比例，与样本规模成正比（预期误差越高，样本量越大）。</w:t>
            </w:r>
          </w:p>
        </w:tc>
      </w:tr>
      <w:tr w14:paraId="3C74F45F">
        <w:tblPrEx>
          <w:tblCellMar>
            <w:top w:w="0" w:type="dxa"/>
            <w:left w:w="108" w:type="dxa"/>
            <w:bottom w:w="0" w:type="dxa"/>
            <w:right w:w="108" w:type="dxa"/>
          </w:tblCellMar>
        </w:tblPrEx>
        <w:trPr>
          <w:trHeight w:val="493" w:hRule="atLeast"/>
        </w:trPr>
        <w:tc>
          <w:tcPr>
            <w:tcW w:w="1116" w:type="pct"/>
            <w:tcBorders>
              <w:top w:val="single" w:color="auto" w:sz="4" w:space="0"/>
              <w:left w:val="single" w:color="auto" w:sz="4" w:space="0"/>
              <w:bottom w:val="single" w:color="auto" w:sz="4" w:space="0"/>
              <w:right w:val="single" w:color="auto" w:sz="4" w:space="0"/>
            </w:tcBorders>
            <w:shd w:val="clear" w:color="auto" w:fill="auto"/>
            <w:vAlign w:val="center"/>
          </w:tcPr>
          <w:p w14:paraId="5BE067E8">
            <w:pPr>
              <w:widowControl/>
              <w:snapToGrid w:val="0"/>
              <w:spacing w:line="320" w:lineRule="exact"/>
              <w:jc w:val="center"/>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总体规模</w:t>
            </w:r>
          </w:p>
        </w:tc>
        <w:tc>
          <w:tcPr>
            <w:tcW w:w="3883" w:type="pct"/>
            <w:tcBorders>
              <w:top w:val="single" w:color="auto" w:sz="4" w:space="0"/>
              <w:left w:val="single" w:color="auto" w:sz="4" w:space="0"/>
              <w:bottom w:val="single" w:color="auto" w:sz="4" w:space="0"/>
              <w:right w:val="single" w:color="auto" w:sz="4" w:space="0"/>
            </w:tcBorders>
            <w:shd w:val="clear" w:color="auto" w:fill="auto"/>
            <w:vAlign w:val="center"/>
          </w:tcPr>
          <w:p w14:paraId="54A5D0BD">
            <w:pPr>
              <w:widowControl/>
              <w:snapToGrid w:val="0"/>
              <w:spacing w:line="320" w:lineRule="exact"/>
              <w:jc w:val="left"/>
              <w:textAlignment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总体项目数量或总金额越大，样本规模可能相应增加（但非线性关系）。</w:t>
            </w:r>
          </w:p>
        </w:tc>
      </w:tr>
    </w:tbl>
    <w:p w14:paraId="05F17598">
      <w:pPr>
        <w:snapToGrid w:val="0"/>
        <w:spacing w:before="312" w:beforeLines="10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使用非统计抽样确定样本规模时可使用下列公式计算</w:t>
      </w:r>
      <w:r>
        <w:rPr>
          <w:rFonts w:asciiTheme="minorEastAsia" w:hAnsiTheme="minorEastAsia" w:eastAsiaTheme="minorEastAsia" w:cstheme="minorEastAsia"/>
          <w:color w:val="auto"/>
          <w:sz w:val="24"/>
        </w:rPr>
        <w:t>:</w:t>
      </w:r>
    </w:p>
    <w:p w14:paraId="5FAB8598">
      <w:pP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样本规模</w:t>
      </w:r>
      <w:r>
        <w:rPr>
          <w:rFonts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rPr>
        <w:t>抽样总体账面金额÷可容忍错报×保证系数</w:t>
      </w:r>
    </w:p>
    <w:p w14:paraId="3B42153E">
      <w:pPr>
        <w:snapToGrid w:val="0"/>
        <w:spacing w:after="156" w:afterLines="50"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color w:val="auto"/>
          <w:sz w:val="24"/>
        </w:rPr>
        <w:t>其中，可容忍错报通常等于或低于实际执行的重要性，保证系数参考下表：</w:t>
      </w:r>
    </w:p>
    <w:tbl>
      <w:tblPr>
        <w:tblStyle w:val="13"/>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767"/>
        <w:gridCol w:w="1767"/>
        <w:gridCol w:w="1767"/>
        <w:gridCol w:w="1663"/>
        <w:tblGridChange w:id="1">
          <w:tblGrid>
            <w:gridCol w:w="120"/>
            <w:gridCol w:w="113"/>
            <w:gridCol w:w="1506"/>
            <w:gridCol w:w="27"/>
            <w:gridCol w:w="86"/>
            <w:gridCol w:w="1629"/>
            <w:gridCol w:w="52"/>
            <w:gridCol w:w="61"/>
            <w:gridCol w:w="1630"/>
            <w:gridCol w:w="1743"/>
            <w:gridCol w:w="1641"/>
          </w:tblGrid>
        </w:tblGridChange>
      </w:tblGrid>
      <w:tr w14:paraId="78D9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46" w:type="dxa"/>
            <w:vMerge w:val="restart"/>
            <w:vAlign w:val="center"/>
          </w:tcPr>
          <w:p w14:paraId="420D5B08">
            <w:pPr>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评估的重大错报风险</w:t>
            </w:r>
          </w:p>
        </w:tc>
        <w:tc>
          <w:tcPr>
            <w:tcW w:w="6964" w:type="dxa"/>
            <w:gridSpan w:val="4"/>
            <w:vAlign w:val="center"/>
          </w:tcPr>
          <w:p w14:paraId="4E9D9854">
            <w:pPr>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其他实质性程序未能发现重大错报的风险</w:t>
            </w:r>
          </w:p>
        </w:tc>
      </w:tr>
      <w:tr w14:paraId="05C9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Merge w:val="continue"/>
            <w:vAlign w:val="center"/>
          </w:tcPr>
          <w:p w14:paraId="68DDA8FA">
            <w:pPr>
              <w:snapToGrid w:val="0"/>
              <w:spacing w:line="300" w:lineRule="exact"/>
              <w:jc w:val="center"/>
              <w:rPr>
                <w:rFonts w:asciiTheme="minorEastAsia" w:hAnsiTheme="minorEastAsia" w:cstheme="minorEastAsia"/>
                <w:sz w:val="21"/>
                <w:szCs w:val="21"/>
              </w:rPr>
            </w:pPr>
          </w:p>
        </w:tc>
        <w:tc>
          <w:tcPr>
            <w:tcW w:w="1767" w:type="dxa"/>
            <w:vAlign w:val="center"/>
          </w:tcPr>
          <w:p w14:paraId="218EAFC6">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最高（即其他程序的保证程度：没有）</w:t>
            </w:r>
          </w:p>
        </w:tc>
        <w:tc>
          <w:tcPr>
            <w:tcW w:w="1767" w:type="dxa"/>
            <w:vAlign w:val="center"/>
          </w:tcPr>
          <w:p w14:paraId="082BDFC9">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高（即其他程序的保证程度：有限的）</w:t>
            </w:r>
          </w:p>
        </w:tc>
        <w:tc>
          <w:tcPr>
            <w:tcW w:w="1767" w:type="dxa"/>
            <w:vAlign w:val="center"/>
          </w:tcPr>
          <w:p w14:paraId="03B59590">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中（即其他程序的保证程度：中度的）</w:t>
            </w:r>
          </w:p>
        </w:tc>
        <w:tc>
          <w:tcPr>
            <w:tcW w:w="1663" w:type="dxa"/>
            <w:vAlign w:val="center"/>
          </w:tcPr>
          <w:p w14:paraId="39C96F07">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低（即其他程序的保证程度：重要的）</w:t>
            </w:r>
          </w:p>
        </w:tc>
      </w:tr>
      <w:tr w14:paraId="637B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14:paraId="1637FB0D">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最高</w:t>
            </w:r>
          </w:p>
        </w:tc>
        <w:tc>
          <w:tcPr>
            <w:tcW w:w="1767" w:type="dxa"/>
            <w:vAlign w:val="center"/>
          </w:tcPr>
          <w:p w14:paraId="06710D48">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3</w:t>
            </w:r>
          </w:p>
        </w:tc>
        <w:tc>
          <w:tcPr>
            <w:tcW w:w="1767" w:type="dxa"/>
            <w:vAlign w:val="center"/>
          </w:tcPr>
          <w:p w14:paraId="14EF7654">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2.7</w:t>
            </w:r>
          </w:p>
        </w:tc>
        <w:tc>
          <w:tcPr>
            <w:tcW w:w="1767" w:type="dxa"/>
            <w:vAlign w:val="center"/>
          </w:tcPr>
          <w:p w14:paraId="634D76E8">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2.3</w:t>
            </w:r>
          </w:p>
        </w:tc>
        <w:tc>
          <w:tcPr>
            <w:tcW w:w="1663" w:type="dxa"/>
            <w:vAlign w:val="center"/>
          </w:tcPr>
          <w:p w14:paraId="0BEC5F07">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w:t>
            </w:r>
          </w:p>
        </w:tc>
      </w:tr>
      <w:tr w14:paraId="615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14:paraId="667BA761">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高</w:t>
            </w:r>
          </w:p>
        </w:tc>
        <w:tc>
          <w:tcPr>
            <w:tcW w:w="1767" w:type="dxa"/>
            <w:vAlign w:val="center"/>
          </w:tcPr>
          <w:p w14:paraId="074BC54D">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2.7</w:t>
            </w:r>
          </w:p>
        </w:tc>
        <w:tc>
          <w:tcPr>
            <w:tcW w:w="1767" w:type="dxa"/>
            <w:vAlign w:val="center"/>
          </w:tcPr>
          <w:p w14:paraId="185E1E0E">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2.4</w:t>
            </w:r>
          </w:p>
        </w:tc>
        <w:tc>
          <w:tcPr>
            <w:tcW w:w="1767" w:type="dxa"/>
            <w:vAlign w:val="center"/>
          </w:tcPr>
          <w:p w14:paraId="52D47539">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w:t>
            </w:r>
          </w:p>
        </w:tc>
        <w:tc>
          <w:tcPr>
            <w:tcW w:w="1663" w:type="dxa"/>
            <w:vAlign w:val="center"/>
          </w:tcPr>
          <w:p w14:paraId="129DEDD9">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1.6</w:t>
            </w:r>
          </w:p>
        </w:tc>
      </w:tr>
      <w:tr w14:paraId="5B50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14:paraId="622D89B0">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中</w:t>
            </w:r>
          </w:p>
        </w:tc>
        <w:tc>
          <w:tcPr>
            <w:tcW w:w="1767" w:type="dxa"/>
            <w:vAlign w:val="center"/>
          </w:tcPr>
          <w:p w14:paraId="5F0B7492">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2.3</w:t>
            </w:r>
          </w:p>
        </w:tc>
        <w:tc>
          <w:tcPr>
            <w:tcW w:w="1767" w:type="dxa"/>
            <w:vAlign w:val="center"/>
          </w:tcPr>
          <w:p w14:paraId="25B66097">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2.1</w:t>
            </w:r>
          </w:p>
        </w:tc>
        <w:tc>
          <w:tcPr>
            <w:tcW w:w="1767" w:type="dxa"/>
            <w:vAlign w:val="center"/>
          </w:tcPr>
          <w:p w14:paraId="121EAA6C">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1.6</w:t>
            </w:r>
          </w:p>
        </w:tc>
        <w:tc>
          <w:tcPr>
            <w:tcW w:w="1663" w:type="dxa"/>
            <w:vAlign w:val="center"/>
          </w:tcPr>
          <w:p w14:paraId="028D45B8">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1.2</w:t>
            </w:r>
          </w:p>
        </w:tc>
      </w:tr>
      <w:tr w14:paraId="594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14:paraId="418A08BA">
            <w:pPr>
              <w:widowControl/>
              <w:snapToGrid w:val="0"/>
              <w:spacing w:line="300" w:lineRule="exac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低</w:t>
            </w:r>
          </w:p>
        </w:tc>
        <w:tc>
          <w:tcPr>
            <w:tcW w:w="1767" w:type="dxa"/>
            <w:vAlign w:val="center"/>
          </w:tcPr>
          <w:p w14:paraId="0A0C68D1">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2</w:t>
            </w:r>
          </w:p>
        </w:tc>
        <w:tc>
          <w:tcPr>
            <w:tcW w:w="1767" w:type="dxa"/>
            <w:vAlign w:val="center"/>
          </w:tcPr>
          <w:p w14:paraId="574BBEAC">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1.6</w:t>
            </w:r>
          </w:p>
        </w:tc>
        <w:tc>
          <w:tcPr>
            <w:tcW w:w="1767" w:type="dxa"/>
            <w:vAlign w:val="center"/>
          </w:tcPr>
          <w:p w14:paraId="26CCC150">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1.2</w:t>
            </w:r>
          </w:p>
        </w:tc>
        <w:tc>
          <w:tcPr>
            <w:tcW w:w="1663" w:type="dxa"/>
            <w:vAlign w:val="center"/>
          </w:tcPr>
          <w:p w14:paraId="3800212A">
            <w:pPr>
              <w:widowControl/>
              <w:snapToGrid w:val="0"/>
              <w:spacing w:line="300" w:lineRule="exact"/>
              <w:jc w:val="center"/>
              <w:rPr>
                <w:rFonts w:asciiTheme="minorEastAsia" w:hAnsiTheme="minorEastAsia" w:cstheme="minorEastAsia"/>
                <w:sz w:val="21"/>
                <w:szCs w:val="21"/>
              </w:rPr>
            </w:pPr>
            <w:r>
              <w:rPr>
                <w:rFonts w:asciiTheme="minorEastAsia" w:hAnsiTheme="minorEastAsia" w:cstheme="minorEastAsia"/>
                <w:kern w:val="0"/>
                <w:sz w:val="21"/>
                <w:szCs w:val="21"/>
              </w:rPr>
              <w:t>1</w:t>
            </w:r>
          </w:p>
        </w:tc>
      </w:tr>
    </w:tbl>
    <w:p w14:paraId="67581AB4">
      <w:pPr>
        <w:snapToGrid w:val="0"/>
        <w:spacing w:before="156" w:beforeLines="50"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以上述案例为例，假定评估的重大错报风险和其他实质性程序未能发现重大错</w:t>
      </w:r>
    </w:p>
    <w:p w14:paraId="67121ED9">
      <w:pPr>
        <w:snapToGrid w:val="0"/>
        <w:spacing w:line="360" w:lineRule="auto"/>
        <w:ind w:firstLine="0" w:firstLineChars="0"/>
        <w:rPr>
          <w:rFonts w:asciiTheme="minorEastAsia" w:hAnsiTheme="minorEastAsia" w:eastAsiaTheme="minorEastAsia" w:cstheme="minorEastAsia"/>
          <w:color w:val="auto"/>
          <w:sz w:val="24"/>
        </w:rPr>
      </w:pPr>
      <w:r>
        <w:rPr>
          <w:rFonts w:hint="eastAsia" w:asciiTheme="minorEastAsia" w:hAnsiTheme="minorEastAsia" w:cstheme="minorEastAsia"/>
          <w:sz w:val="24"/>
        </w:rPr>
        <w:t>报的风险均为最高，保证系数为3。</w:t>
      </w:r>
    </w:p>
    <w:p w14:paraId="5A931A4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样本规模</w:t>
      </w:r>
      <w:r>
        <w:rPr>
          <w:rFonts w:asciiTheme="minorEastAsia" w:hAnsiTheme="minorEastAsia" w:eastAsiaTheme="minorEastAsia" w:cstheme="minorEastAsia"/>
          <w:sz w:val="24"/>
        </w:rPr>
        <w:t>=16450÷100</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3=495个</w:t>
      </w:r>
    </w:p>
    <w:tbl>
      <w:tblPr>
        <w:tblStyle w:val="12"/>
        <w:tblW w:w="8625" w:type="dxa"/>
        <w:tblInd w:w="105" w:type="dxa"/>
        <w:shd w:val="clear" w:color="auto" w:fill="FFFFFF" w:themeFill="background1"/>
        <w:tblLayout w:type="fixed"/>
        <w:tblCellMar>
          <w:top w:w="0" w:type="dxa"/>
          <w:left w:w="108" w:type="dxa"/>
          <w:bottom w:w="0" w:type="dxa"/>
          <w:right w:w="108" w:type="dxa"/>
        </w:tblCellMar>
      </w:tblPr>
      <w:tblGrid>
        <w:gridCol w:w="3855"/>
        <w:gridCol w:w="1884"/>
        <w:gridCol w:w="2886"/>
      </w:tblGrid>
      <w:tr w14:paraId="4F4A019E">
        <w:tblPrEx>
          <w:shd w:val="clear" w:color="auto" w:fill="FFFFFF" w:themeFill="background1"/>
          <w:tblCellMar>
            <w:top w:w="0" w:type="dxa"/>
            <w:left w:w="108" w:type="dxa"/>
            <w:bottom w:w="0" w:type="dxa"/>
            <w:right w:w="108" w:type="dxa"/>
          </w:tblCellMar>
        </w:tblPrEx>
        <w:trPr>
          <w:trHeight w:val="365" w:hRule="atLeast"/>
        </w:trPr>
        <w:tc>
          <w:tcPr>
            <w:tcW w:w="3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F85B23">
            <w:pPr>
              <w:widowControl/>
              <w:snapToGrid w:val="0"/>
              <w:spacing w:line="32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w:t>
            </w:r>
            <w:r>
              <w:rPr>
                <w:rFonts w:asciiTheme="minorEastAsia" w:hAnsiTheme="minorEastAsia" w:eastAsiaTheme="minorEastAsia" w:cstheme="minorEastAsia"/>
                <w:b/>
                <w:bCs/>
                <w:kern w:val="0"/>
                <w:szCs w:val="21"/>
              </w:rPr>
              <w:t xml:space="preserve"> </w:t>
            </w:r>
            <w:r>
              <w:rPr>
                <w:rFonts w:hint="eastAsia" w:asciiTheme="minorEastAsia" w:hAnsiTheme="minorEastAsia" w:eastAsiaTheme="minorEastAsia" w:cstheme="minorEastAsia"/>
                <w:b/>
                <w:bCs/>
                <w:kern w:val="0"/>
                <w:szCs w:val="21"/>
              </w:rPr>
              <w:t>目</w:t>
            </w:r>
          </w:p>
        </w:tc>
        <w:tc>
          <w:tcPr>
            <w:tcW w:w="1884" w:type="dxa"/>
            <w:tcBorders>
              <w:top w:val="single" w:color="auto" w:sz="4" w:space="0"/>
              <w:left w:val="nil"/>
              <w:bottom w:val="single" w:color="auto" w:sz="4" w:space="0"/>
              <w:right w:val="single" w:color="auto" w:sz="4" w:space="0"/>
            </w:tcBorders>
            <w:shd w:val="clear" w:color="auto" w:fill="FFFFFF" w:themeFill="background1"/>
            <w:vAlign w:val="center"/>
          </w:tcPr>
          <w:p w14:paraId="28F8107B">
            <w:pPr>
              <w:widowControl/>
              <w:snapToGrid w:val="0"/>
              <w:spacing w:line="32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金额</w:t>
            </w:r>
          </w:p>
        </w:tc>
        <w:tc>
          <w:tcPr>
            <w:tcW w:w="2886" w:type="dxa"/>
            <w:tcBorders>
              <w:top w:val="single" w:color="auto" w:sz="4" w:space="0"/>
              <w:left w:val="nil"/>
              <w:bottom w:val="single" w:color="auto" w:sz="4" w:space="0"/>
              <w:right w:val="single" w:color="auto" w:sz="4" w:space="0"/>
            </w:tcBorders>
            <w:shd w:val="clear" w:color="auto" w:fill="FFFFFF" w:themeFill="background1"/>
            <w:vAlign w:val="center"/>
          </w:tcPr>
          <w:p w14:paraId="67F1B530">
            <w:pPr>
              <w:widowControl/>
              <w:snapToGrid w:val="0"/>
              <w:spacing w:line="32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项目数量</w:t>
            </w:r>
          </w:p>
        </w:tc>
      </w:tr>
      <w:tr w14:paraId="0A649B98">
        <w:tblPrEx>
          <w:shd w:val="clear" w:color="auto" w:fill="FFFFFF" w:themeFill="background1"/>
          <w:tblCellMar>
            <w:top w:w="0" w:type="dxa"/>
            <w:left w:w="108" w:type="dxa"/>
            <w:bottom w:w="0" w:type="dxa"/>
            <w:right w:w="108" w:type="dxa"/>
          </w:tblCellMar>
        </w:tblPrEx>
        <w:trPr>
          <w:trHeight w:val="390"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0FC707E3">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待抽样的测试总体（扣除特定项目后）</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3EF7FBD8">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16,450.00</w:t>
            </w:r>
          </w:p>
        </w:tc>
        <w:tc>
          <w:tcPr>
            <w:tcW w:w="2886" w:type="dxa"/>
            <w:tcBorders>
              <w:top w:val="nil"/>
              <w:left w:val="nil"/>
              <w:bottom w:val="single" w:color="auto" w:sz="4" w:space="0"/>
              <w:right w:val="single" w:color="auto" w:sz="4" w:space="0"/>
            </w:tcBorders>
            <w:shd w:val="clear" w:color="auto" w:fill="FFFFFF" w:themeFill="background1"/>
            <w:noWrap/>
            <w:vAlign w:val="center"/>
          </w:tcPr>
          <w:p w14:paraId="5D57512F">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1,300</w:t>
            </w:r>
          </w:p>
        </w:tc>
      </w:tr>
      <w:tr w14:paraId="673E6D6F">
        <w:tblPrEx>
          <w:shd w:val="clear" w:color="auto" w:fill="FFFFFF" w:themeFill="background1"/>
          <w:tblCellMar>
            <w:top w:w="0" w:type="dxa"/>
            <w:left w:w="108" w:type="dxa"/>
            <w:bottom w:w="0" w:type="dxa"/>
            <w:right w:w="108" w:type="dxa"/>
          </w:tblCellMar>
        </w:tblPrEx>
        <w:trPr>
          <w:trHeight w:val="345"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149F4B91">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可容忍错报</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5D138991">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100</w:t>
            </w:r>
          </w:p>
        </w:tc>
        <w:tc>
          <w:tcPr>
            <w:tcW w:w="2886" w:type="dxa"/>
            <w:tcBorders>
              <w:top w:val="nil"/>
              <w:left w:val="nil"/>
              <w:bottom w:val="single" w:color="auto" w:sz="4" w:space="0"/>
              <w:right w:val="single" w:color="auto" w:sz="4" w:space="0"/>
            </w:tcBorders>
            <w:shd w:val="clear" w:color="auto" w:fill="FFFFFF" w:themeFill="background1"/>
            <w:noWrap/>
            <w:vAlign w:val="center"/>
          </w:tcPr>
          <w:p w14:paraId="65913C5D">
            <w:pPr>
              <w:widowControl/>
              <w:snapToGrid w:val="0"/>
              <w:spacing w:line="320" w:lineRule="exact"/>
              <w:ind w:right="349" w:rightChars="166"/>
              <w:jc w:val="center"/>
              <w:rPr>
                <w:rFonts w:asciiTheme="minorEastAsia" w:hAnsiTheme="minorEastAsia" w:eastAsiaTheme="minorEastAsia" w:cstheme="minorEastAsia"/>
                <w:kern w:val="0"/>
                <w:szCs w:val="21"/>
              </w:rPr>
            </w:pPr>
          </w:p>
        </w:tc>
      </w:tr>
      <w:tr w14:paraId="179D4564">
        <w:tblPrEx>
          <w:shd w:val="clear" w:color="auto" w:fill="FFFFFF" w:themeFill="background1"/>
          <w:tblCellMar>
            <w:top w:w="0" w:type="dxa"/>
            <w:left w:w="108" w:type="dxa"/>
            <w:bottom w:w="0" w:type="dxa"/>
            <w:right w:w="108" w:type="dxa"/>
          </w:tblCellMar>
        </w:tblPrEx>
        <w:trPr>
          <w:trHeight w:val="355"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255E4F54">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保证系数</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050BD8C5">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3</w:t>
            </w:r>
          </w:p>
        </w:tc>
        <w:tc>
          <w:tcPr>
            <w:tcW w:w="2886" w:type="dxa"/>
            <w:tcBorders>
              <w:top w:val="nil"/>
              <w:left w:val="nil"/>
              <w:bottom w:val="single" w:color="auto" w:sz="4" w:space="0"/>
              <w:right w:val="single" w:color="auto" w:sz="4" w:space="0"/>
            </w:tcBorders>
            <w:shd w:val="clear" w:color="auto" w:fill="FFFFFF" w:themeFill="background1"/>
            <w:noWrap/>
            <w:vAlign w:val="center"/>
          </w:tcPr>
          <w:p w14:paraId="1E5B73A1">
            <w:pPr>
              <w:widowControl/>
              <w:snapToGrid w:val="0"/>
              <w:spacing w:line="320" w:lineRule="exact"/>
              <w:ind w:right="349" w:rightChars="166"/>
              <w:jc w:val="center"/>
              <w:rPr>
                <w:rFonts w:asciiTheme="minorEastAsia" w:hAnsiTheme="minorEastAsia" w:eastAsiaTheme="minorEastAsia" w:cstheme="minorEastAsia"/>
                <w:kern w:val="0"/>
                <w:szCs w:val="21"/>
              </w:rPr>
            </w:pPr>
          </w:p>
        </w:tc>
      </w:tr>
      <w:tr w14:paraId="5C4EFD4E">
        <w:tblPrEx>
          <w:shd w:val="clear" w:color="auto" w:fill="FFFFFF" w:themeFill="background1"/>
          <w:tblCellMar>
            <w:top w:w="0" w:type="dxa"/>
            <w:left w:w="108" w:type="dxa"/>
            <w:bottom w:w="0" w:type="dxa"/>
            <w:right w:w="108" w:type="dxa"/>
          </w:tblCellMar>
        </w:tblPrEx>
        <w:trPr>
          <w:trHeight w:val="375"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4B0E5796">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样本规模</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2FB0F292">
            <w:pPr>
              <w:widowControl/>
              <w:snapToGrid w:val="0"/>
              <w:spacing w:line="320" w:lineRule="exact"/>
              <w:ind w:right="349" w:rightChars="166"/>
              <w:jc w:val="center"/>
              <w:rPr>
                <w:rFonts w:asciiTheme="minorEastAsia" w:hAnsiTheme="minorEastAsia" w:eastAsiaTheme="minorEastAsia" w:cstheme="minorEastAsia"/>
                <w:kern w:val="0"/>
                <w:szCs w:val="21"/>
              </w:rPr>
            </w:pPr>
          </w:p>
        </w:tc>
        <w:tc>
          <w:tcPr>
            <w:tcW w:w="2886" w:type="dxa"/>
            <w:tcBorders>
              <w:top w:val="nil"/>
              <w:left w:val="nil"/>
              <w:bottom w:val="single" w:color="auto" w:sz="4" w:space="0"/>
              <w:right w:val="single" w:color="auto" w:sz="4" w:space="0"/>
            </w:tcBorders>
            <w:shd w:val="clear" w:color="auto" w:fill="FFFFFF" w:themeFill="background1"/>
            <w:noWrap/>
            <w:vAlign w:val="center"/>
          </w:tcPr>
          <w:p w14:paraId="256F8AEC">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495</w:t>
            </w:r>
          </w:p>
        </w:tc>
      </w:tr>
      <w:tr w14:paraId="6F1E83F0">
        <w:tblPrEx>
          <w:shd w:val="clear" w:color="auto" w:fill="FFFFFF" w:themeFill="background1"/>
          <w:tblCellMar>
            <w:top w:w="0" w:type="dxa"/>
            <w:left w:w="108" w:type="dxa"/>
            <w:bottom w:w="0" w:type="dxa"/>
            <w:right w:w="108" w:type="dxa"/>
          </w:tblCellMar>
        </w:tblPrEx>
        <w:trPr>
          <w:trHeight w:val="375"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22A18CF2">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重大项目数量</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3CC0AA3D">
            <w:pPr>
              <w:widowControl/>
              <w:snapToGrid w:val="0"/>
              <w:spacing w:line="320" w:lineRule="exact"/>
              <w:ind w:right="349" w:rightChars="166"/>
              <w:jc w:val="center"/>
              <w:rPr>
                <w:rFonts w:asciiTheme="minorEastAsia" w:hAnsiTheme="minorEastAsia" w:eastAsiaTheme="minorEastAsia" w:cstheme="minorEastAsia"/>
                <w:kern w:val="0"/>
                <w:szCs w:val="21"/>
              </w:rPr>
            </w:pPr>
          </w:p>
        </w:tc>
        <w:tc>
          <w:tcPr>
            <w:tcW w:w="2886" w:type="dxa"/>
            <w:tcBorders>
              <w:top w:val="nil"/>
              <w:left w:val="nil"/>
              <w:bottom w:val="single" w:color="auto" w:sz="4" w:space="0"/>
              <w:right w:val="single" w:color="auto" w:sz="4" w:space="0"/>
            </w:tcBorders>
            <w:shd w:val="clear" w:color="auto" w:fill="FFFFFF" w:themeFill="background1"/>
            <w:noWrap/>
            <w:vAlign w:val="center"/>
          </w:tcPr>
          <w:p w14:paraId="318FD8B1">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22</w:t>
            </w:r>
          </w:p>
        </w:tc>
      </w:tr>
      <w:tr w14:paraId="563831F5">
        <w:tblPrEx>
          <w:shd w:val="clear" w:color="auto" w:fill="FFFFFF" w:themeFill="background1"/>
          <w:tblCellMar>
            <w:top w:w="0" w:type="dxa"/>
            <w:left w:w="108" w:type="dxa"/>
            <w:bottom w:w="0" w:type="dxa"/>
            <w:right w:w="108" w:type="dxa"/>
          </w:tblCellMar>
        </w:tblPrEx>
        <w:trPr>
          <w:trHeight w:val="480" w:hRule="atLeast"/>
        </w:trPr>
        <w:tc>
          <w:tcPr>
            <w:tcW w:w="3855" w:type="dxa"/>
            <w:tcBorders>
              <w:top w:val="nil"/>
              <w:left w:val="single" w:color="auto" w:sz="4" w:space="0"/>
              <w:bottom w:val="single" w:color="auto" w:sz="4" w:space="0"/>
              <w:right w:val="single" w:color="auto" w:sz="4" w:space="0"/>
            </w:tcBorders>
            <w:shd w:val="clear" w:color="auto" w:fill="FFFFFF" w:themeFill="background1"/>
            <w:noWrap/>
            <w:vAlign w:val="center"/>
          </w:tcPr>
          <w:p w14:paraId="7EB926E5">
            <w:pPr>
              <w:widowControl/>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需函</w:t>
            </w:r>
            <w:r>
              <w:rPr>
                <w:rFonts w:hint="eastAsia" w:asciiTheme="minorEastAsia" w:hAnsiTheme="minorEastAsia" w:eastAsiaTheme="minorEastAsia" w:cstheme="minorEastAsia"/>
                <w:kern w:val="0"/>
                <w:szCs w:val="21"/>
              </w:rPr>
              <w:t>证</w:t>
            </w:r>
            <w:r>
              <w:rPr>
                <w:rFonts w:hint="eastAsia" w:asciiTheme="minorEastAsia" w:hAnsiTheme="minorEastAsia" w:eastAsiaTheme="minorEastAsia" w:cstheme="minorEastAsia"/>
                <w:kern w:val="0"/>
                <w:szCs w:val="21"/>
              </w:rPr>
              <w:t>的全部数量</w:t>
            </w:r>
          </w:p>
        </w:tc>
        <w:tc>
          <w:tcPr>
            <w:tcW w:w="1884" w:type="dxa"/>
            <w:tcBorders>
              <w:top w:val="nil"/>
              <w:left w:val="nil"/>
              <w:bottom w:val="single" w:color="auto" w:sz="4" w:space="0"/>
              <w:right w:val="single" w:color="auto" w:sz="4" w:space="0"/>
            </w:tcBorders>
            <w:shd w:val="clear" w:color="auto" w:fill="FFFFFF" w:themeFill="background1"/>
            <w:noWrap/>
            <w:vAlign w:val="center"/>
          </w:tcPr>
          <w:p w14:paraId="3176BBFE">
            <w:pPr>
              <w:widowControl/>
              <w:snapToGrid w:val="0"/>
              <w:spacing w:line="320" w:lineRule="exact"/>
              <w:ind w:right="349" w:rightChars="166"/>
              <w:jc w:val="center"/>
              <w:rPr>
                <w:rFonts w:asciiTheme="minorEastAsia" w:hAnsiTheme="minorEastAsia" w:eastAsiaTheme="minorEastAsia" w:cstheme="minorEastAsia"/>
                <w:kern w:val="0"/>
                <w:szCs w:val="21"/>
              </w:rPr>
            </w:pPr>
          </w:p>
        </w:tc>
        <w:tc>
          <w:tcPr>
            <w:tcW w:w="2886" w:type="dxa"/>
            <w:tcBorders>
              <w:top w:val="nil"/>
              <w:left w:val="nil"/>
              <w:bottom w:val="single" w:color="auto" w:sz="4" w:space="0"/>
              <w:right w:val="single" w:color="auto" w:sz="4" w:space="0"/>
            </w:tcBorders>
            <w:shd w:val="clear" w:color="auto" w:fill="FFFFFF" w:themeFill="background1"/>
            <w:noWrap/>
            <w:vAlign w:val="center"/>
          </w:tcPr>
          <w:p w14:paraId="03D2B804">
            <w:pPr>
              <w:widowControl/>
              <w:snapToGrid w:val="0"/>
              <w:spacing w:line="320" w:lineRule="exact"/>
              <w:ind w:right="0" w:rightChars="0"/>
              <w:jc w:val="center"/>
              <w:rPr>
                <w:rFonts w:asciiTheme="minorEastAsia" w:hAnsiTheme="minorEastAsia" w:eastAsiaTheme="minorEastAsia" w:cstheme="minorEastAsia"/>
                <w:kern w:val="0"/>
                <w:szCs w:val="21"/>
              </w:rPr>
            </w:pPr>
            <w:r>
              <w:rPr>
                <w:rFonts w:hint="eastAsia" w:asciiTheme="minorEastAsia" w:hAnsiTheme="minorEastAsia" w:cstheme="minorEastAsia"/>
                <w:szCs w:val="21"/>
              </w:rPr>
              <w:t>517</w:t>
            </w:r>
          </w:p>
        </w:tc>
      </w:tr>
    </w:tbl>
    <w:p w14:paraId="2B2B3407">
      <w:pPr>
        <w:snapToGrid w:val="0"/>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3）样本选取</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98"/>
        <w:gridCol w:w="3436"/>
        <w:gridCol w:w="4300"/>
        <w:tblGridChange w:id="2">
          <w:tblGrid>
            <w:gridCol w:w="111"/>
            <w:gridCol w:w="987"/>
            <w:gridCol w:w="111"/>
            <w:gridCol w:w="3325"/>
            <w:gridCol w:w="4078"/>
          </w:tblGrid>
        </w:tblGridChange>
      </w:tblGrid>
      <w:tr w14:paraId="26BB4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1098" w:type="dxa"/>
            <w:tcBorders>
              <w:tl2br w:val="nil"/>
              <w:tr2bl w:val="nil"/>
            </w:tcBorders>
            <w:shd w:val="clear" w:color="auto" w:fill="auto"/>
            <w:vAlign w:val="center"/>
          </w:tcPr>
          <w:p w14:paraId="5742B0D0">
            <w:pPr>
              <w:widowControl/>
              <w:snapToGrid w:val="0"/>
              <w:spacing w:line="340" w:lineRule="exact"/>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方法</w:t>
            </w:r>
          </w:p>
        </w:tc>
        <w:tc>
          <w:tcPr>
            <w:tcW w:w="3436" w:type="dxa"/>
            <w:tcBorders>
              <w:tl2br w:val="nil"/>
              <w:tr2bl w:val="nil"/>
            </w:tcBorders>
            <w:shd w:val="clear" w:color="auto" w:fill="auto"/>
            <w:vAlign w:val="center"/>
          </w:tcPr>
          <w:p w14:paraId="79047C9F">
            <w:pPr>
              <w:widowControl/>
              <w:snapToGrid w:val="0"/>
              <w:spacing w:line="340" w:lineRule="exact"/>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适用场景</w:t>
            </w:r>
          </w:p>
        </w:tc>
        <w:tc>
          <w:tcPr>
            <w:tcW w:w="0" w:type="auto"/>
            <w:tcBorders>
              <w:tl2br w:val="nil"/>
              <w:tr2bl w:val="nil"/>
            </w:tcBorders>
            <w:shd w:val="clear" w:color="auto" w:fill="auto"/>
            <w:vAlign w:val="center"/>
          </w:tcPr>
          <w:p w14:paraId="1C5F1A5B">
            <w:pPr>
              <w:widowControl/>
              <w:snapToGrid w:val="0"/>
              <w:spacing w:line="340" w:lineRule="exact"/>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操作要点</w:t>
            </w:r>
          </w:p>
        </w:tc>
      </w:tr>
      <w:tr w14:paraId="58C02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7" w:hRule="atLeast"/>
        </w:trPr>
        <w:tc>
          <w:tcPr>
            <w:tcW w:w="1098" w:type="dxa"/>
            <w:tcBorders>
              <w:tl2br w:val="nil"/>
              <w:tr2bl w:val="nil"/>
            </w:tcBorders>
            <w:shd w:val="clear" w:color="auto" w:fill="auto"/>
            <w:vAlign w:val="center"/>
          </w:tcPr>
          <w:p w14:paraId="5BCC71E9">
            <w:pPr>
              <w:widowControl/>
              <w:snapToGrid w:val="0"/>
              <w:spacing w:line="34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随机选样</w:t>
            </w:r>
          </w:p>
        </w:tc>
        <w:tc>
          <w:tcPr>
            <w:tcW w:w="3436" w:type="dxa"/>
            <w:tcBorders>
              <w:tl2br w:val="nil"/>
              <w:tr2bl w:val="nil"/>
            </w:tcBorders>
            <w:shd w:val="clear" w:color="auto" w:fill="auto"/>
            <w:vAlign w:val="center"/>
          </w:tcPr>
          <w:p w14:paraId="2CBE20C9">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总体无显著风险特征且分布均匀时。</w:t>
            </w:r>
          </w:p>
        </w:tc>
        <w:tc>
          <w:tcPr>
            <w:tcW w:w="0" w:type="auto"/>
            <w:tcBorders>
              <w:tl2br w:val="nil"/>
              <w:tr2bl w:val="nil"/>
            </w:tcBorders>
            <w:shd w:val="clear" w:color="auto" w:fill="auto"/>
            <w:vAlign w:val="center"/>
          </w:tcPr>
          <w:p w14:paraId="460C5466">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使用随机数表或软件生成随机数（如</w:t>
            </w:r>
            <w:r>
              <w:rPr>
                <w:rFonts w:asciiTheme="minorEastAsia" w:hAnsiTheme="minorEastAsia" w:eastAsiaTheme="minorEastAsia" w:cstheme="minorEastAsia"/>
                <w:kern w:val="0"/>
                <w:szCs w:val="21"/>
                <w:lang w:bidi="ar"/>
              </w:rPr>
              <w:t>Excel随机函数），确保每个抽样单元被选概率均等。</w:t>
            </w:r>
          </w:p>
        </w:tc>
      </w:tr>
      <w:tr w14:paraId="54B4C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1098" w:type="dxa"/>
            <w:vMerge w:val="restart"/>
            <w:tcBorders>
              <w:tl2br w:val="nil"/>
              <w:tr2bl w:val="nil"/>
            </w:tcBorders>
            <w:shd w:val="clear" w:color="auto" w:fill="auto"/>
            <w:vAlign w:val="center"/>
          </w:tcPr>
          <w:p w14:paraId="6222828E">
            <w:pPr>
              <w:widowControl/>
              <w:snapToGrid w:val="0"/>
              <w:spacing w:line="34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系统选样</w:t>
            </w:r>
          </w:p>
        </w:tc>
        <w:tc>
          <w:tcPr>
            <w:tcW w:w="3436" w:type="dxa"/>
            <w:vMerge w:val="restart"/>
            <w:tcBorders>
              <w:tl2br w:val="nil"/>
              <w:tr2bl w:val="nil"/>
            </w:tcBorders>
            <w:shd w:val="clear" w:color="auto" w:fill="auto"/>
            <w:vAlign w:val="center"/>
          </w:tcPr>
          <w:p w14:paraId="3B00828B">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总体排列无周期性偏差（如交易按时间顺序排列但无固定间隔重复模式）。</w:t>
            </w:r>
          </w:p>
        </w:tc>
        <w:tc>
          <w:tcPr>
            <w:tcW w:w="0" w:type="auto"/>
            <w:tcBorders>
              <w:tl2br w:val="nil"/>
              <w:tr2bl w:val="nil"/>
            </w:tcBorders>
            <w:shd w:val="clear" w:color="auto" w:fill="auto"/>
            <w:vAlign w:val="center"/>
          </w:tcPr>
          <w:p w14:paraId="43AEAA74">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计算抽样间隔（总体量÷样本量），随机确定起点后按间隔选取样本。</w:t>
            </w:r>
          </w:p>
        </w:tc>
      </w:tr>
      <w:tr w14:paraId="5A0B3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5" w:hRule="atLeast"/>
        </w:trPr>
        <w:tc>
          <w:tcPr>
            <w:tcW w:w="1098" w:type="dxa"/>
            <w:vMerge w:val="continue"/>
            <w:tcBorders>
              <w:tl2br w:val="nil"/>
              <w:tr2bl w:val="nil"/>
            </w:tcBorders>
            <w:shd w:val="clear" w:color="auto" w:fill="auto"/>
            <w:vAlign w:val="center"/>
          </w:tcPr>
          <w:p w14:paraId="2C605F80">
            <w:pPr>
              <w:snapToGrid w:val="0"/>
              <w:spacing w:line="340" w:lineRule="exact"/>
              <w:jc w:val="center"/>
              <w:rPr>
                <w:rFonts w:asciiTheme="minorEastAsia" w:hAnsiTheme="minorEastAsia" w:eastAsiaTheme="minorEastAsia" w:cstheme="minorEastAsia"/>
                <w:szCs w:val="21"/>
              </w:rPr>
            </w:pPr>
          </w:p>
        </w:tc>
        <w:tc>
          <w:tcPr>
            <w:tcW w:w="3436" w:type="dxa"/>
            <w:vMerge w:val="continue"/>
            <w:tcBorders>
              <w:tl2br w:val="nil"/>
              <w:tr2bl w:val="nil"/>
            </w:tcBorders>
            <w:shd w:val="clear" w:color="auto" w:fill="auto"/>
            <w:vAlign w:val="center"/>
          </w:tcPr>
          <w:p w14:paraId="5C9F74CD">
            <w:pPr>
              <w:snapToGrid w:val="0"/>
              <w:spacing w:line="340" w:lineRule="exact"/>
              <w:rPr>
                <w:rFonts w:asciiTheme="minorEastAsia" w:hAnsiTheme="minorEastAsia" w:eastAsiaTheme="minorEastAsia" w:cstheme="minorEastAsia"/>
                <w:szCs w:val="21"/>
              </w:rPr>
            </w:pPr>
          </w:p>
        </w:tc>
        <w:tc>
          <w:tcPr>
            <w:tcW w:w="0" w:type="auto"/>
            <w:tcBorders>
              <w:tl2br w:val="nil"/>
              <w:tr2bl w:val="nil"/>
            </w:tcBorders>
            <w:shd w:val="clear" w:color="auto" w:fill="auto"/>
            <w:vAlign w:val="center"/>
          </w:tcPr>
          <w:p w14:paraId="0159342D">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注意需验证总体排列不隐含特殊规律（如间隔与月份周期重合）。</w:t>
            </w:r>
          </w:p>
        </w:tc>
      </w:tr>
      <w:tr w14:paraId="6BCCE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trPr>
        <w:tc>
          <w:tcPr>
            <w:tcW w:w="1098" w:type="dxa"/>
            <w:vMerge w:val="restart"/>
            <w:tcBorders>
              <w:tl2br w:val="nil"/>
              <w:tr2bl w:val="nil"/>
            </w:tcBorders>
            <w:shd w:val="clear" w:color="auto" w:fill="auto"/>
            <w:vAlign w:val="center"/>
          </w:tcPr>
          <w:p w14:paraId="07F76E33">
            <w:pPr>
              <w:widowControl/>
              <w:snapToGrid w:val="0"/>
              <w:spacing w:line="34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货币单元抽样</w:t>
            </w:r>
          </w:p>
        </w:tc>
        <w:tc>
          <w:tcPr>
            <w:tcW w:w="3436" w:type="dxa"/>
            <w:vMerge w:val="restart"/>
            <w:tcBorders>
              <w:tl2br w:val="nil"/>
              <w:tr2bl w:val="nil"/>
            </w:tcBorders>
            <w:shd w:val="clear" w:color="auto" w:fill="auto"/>
            <w:vAlign w:val="center"/>
          </w:tcPr>
          <w:p w14:paraId="7B2873B6">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细节测试中高估风险领域（如验证应收账款是否虚增）。</w:t>
            </w:r>
          </w:p>
        </w:tc>
        <w:tc>
          <w:tcPr>
            <w:tcW w:w="0" w:type="auto"/>
            <w:tcBorders>
              <w:tl2br w:val="nil"/>
              <w:tr2bl w:val="nil"/>
            </w:tcBorders>
            <w:shd w:val="clear" w:color="auto" w:fill="auto"/>
            <w:vAlign w:val="center"/>
          </w:tcPr>
          <w:p w14:paraId="6497BCBE">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将总体金额转换为货币单元，大金额项目被选概率更高。</w:t>
            </w:r>
          </w:p>
        </w:tc>
      </w:tr>
      <w:tr w14:paraId="720DE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7" w:hRule="atLeast"/>
        </w:trPr>
        <w:tc>
          <w:tcPr>
            <w:tcW w:w="1098" w:type="dxa"/>
            <w:vMerge w:val="continue"/>
            <w:tcBorders>
              <w:tl2br w:val="nil"/>
              <w:tr2bl w:val="nil"/>
            </w:tcBorders>
            <w:shd w:val="clear" w:color="auto" w:fill="auto"/>
            <w:vAlign w:val="center"/>
          </w:tcPr>
          <w:p w14:paraId="19766114">
            <w:pPr>
              <w:snapToGrid w:val="0"/>
              <w:spacing w:line="340" w:lineRule="exact"/>
              <w:jc w:val="center"/>
              <w:rPr>
                <w:rFonts w:asciiTheme="minorEastAsia" w:hAnsiTheme="minorEastAsia" w:eastAsiaTheme="minorEastAsia" w:cstheme="minorEastAsia"/>
                <w:szCs w:val="21"/>
              </w:rPr>
            </w:pPr>
          </w:p>
        </w:tc>
        <w:tc>
          <w:tcPr>
            <w:tcW w:w="3436" w:type="dxa"/>
            <w:vMerge w:val="continue"/>
            <w:tcBorders>
              <w:tl2br w:val="nil"/>
              <w:tr2bl w:val="nil"/>
            </w:tcBorders>
            <w:shd w:val="clear" w:color="auto" w:fill="auto"/>
            <w:vAlign w:val="center"/>
          </w:tcPr>
          <w:p w14:paraId="04B89708">
            <w:pPr>
              <w:snapToGrid w:val="0"/>
              <w:spacing w:line="340" w:lineRule="exact"/>
              <w:rPr>
                <w:rFonts w:asciiTheme="minorEastAsia" w:hAnsiTheme="minorEastAsia" w:eastAsiaTheme="minorEastAsia" w:cstheme="minorEastAsia"/>
                <w:szCs w:val="21"/>
              </w:rPr>
            </w:pPr>
          </w:p>
        </w:tc>
        <w:tc>
          <w:tcPr>
            <w:tcW w:w="0" w:type="auto"/>
            <w:tcBorders>
              <w:tl2br w:val="nil"/>
              <w:tr2bl w:val="nil"/>
            </w:tcBorders>
            <w:shd w:val="clear" w:color="auto" w:fill="auto"/>
            <w:vAlign w:val="center"/>
          </w:tcPr>
          <w:p w14:paraId="7ACFCB16">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示例：某应收账款总金额</w:t>
            </w:r>
            <w:r>
              <w:rPr>
                <w:rFonts w:asciiTheme="minorEastAsia" w:hAnsiTheme="minorEastAsia" w:eastAsiaTheme="minorEastAsia" w:cstheme="minorEastAsia"/>
                <w:kern w:val="0"/>
                <w:szCs w:val="21"/>
                <w:lang w:bidi="ar"/>
              </w:rPr>
              <w:t>1000万元，每个“1元”为一个货币单元，抽取1000个单元对应具体账户。</w:t>
            </w:r>
          </w:p>
        </w:tc>
      </w:tr>
      <w:tr w14:paraId="2C14C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atLeast"/>
        </w:trPr>
        <w:tc>
          <w:tcPr>
            <w:tcW w:w="1098" w:type="dxa"/>
            <w:vMerge w:val="restart"/>
            <w:tcBorders>
              <w:tl2br w:val="nil"/>
              <w:tr2bl w:val="nil"/>
            </w:tcBorders>
            <w:shd w:val="clear" w:color="auto" w:fill="auto"/>
            <w:vAlign w:val="center"/>
          </w:tcPr>
          <w:p w14:paraId="7A47264B">
            <w:pPr>
              <w:widowControl/>
              <w:snapToGrid w:val="0"/>
              <w:spacing w:line="34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随意选样</w:t>
            </w:r>
          </w:p>
        </w:tc>
        <w:tc>
          <w:tcPr>
            <w:tcW w:w="3436" w:type="dxa"/>
            <w:vMerge w:val="restart"/>
            <w:tcBorders>
              <w:tl2br w:val="nil"/>
              <w:tr2bl w:val="nil"/>
            </w:tcBorders>
            <w:shd w:val="clear" w:color="auto" w:fill="auto"/>
            <w:vAlign w:val="center"/>
          </w:tcPr>
          <w:p w14:paraId="60A731E2">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非统计抽样下需覆盖代表性项目，且无结构化方法要求时。</w:t>
            </w:r>
          </w:p>
        </w:tc>
        <w:tc>
          <w:tcPr>
            <w:tcW w:w="0" w:type="auto"/>
            <w:tcBorders>
              <w:tl2br w:val="nil"/>
              <w:tr2bl w:val="nil"/>
            </w:tcBorders>
            <w:shd w:val="clear" w:color="auto" w:fill="auto"/>
            <w:vAlign w:val="center"/>
          </w:tcPr>
          <w:p w14:paraId="4F56DB43">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避免主观偏向（如不刻意回避复杂项目或固定选择某位置项目），确保样本反映总体特征。</w:t>
            </w:r>
          </w:p>
        </w:tc>
      </w:tr>
      <w:tr w14:paraId="6AB3C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98" w:type="dxa"/>
            <w:vMerge w:val="continue"/>
            <w:tcBorders>
              <w:tl2br w:val="nil"/>
              <w:tr2bl w:val="nil"/>
            </w:tcBorders>
            <w:shd w:val="clear" w:color="auto" w:fill="auto"/>
            <w:vAlign w:val="center"/>
          </w:tcPr>
          <w:p w14:paraId="0DACAAF8">
            <w:pPr>
              <w:snapToGrid w:val="0"/>
              <w:spacing w:line="340" w:lineRule="exact"/>
              <w:jc w:val="center"/>
              <w:rPr>
                <w:rFonts w:asciiTheme="minorEastAsia" w:hAnsiTheme="minorEastAsia" w:eastAsiaTheme="minorEastAsia" w:cstheme="minorEastAsia"/>
                <w:szCs w:val="21"/>
              </w:rPr>
            </w:pPr>
          </w:p>
        </w:tc>
        <w:tc>
          <w:tcPr>
            <w:tcW w:w="3436" w:type="dxa"/>
            <w:vMerge w:val="continue"/>
            <w:tcBorders>
              <w:tl2br w:val="nil"/>
              <w:tr2bl w:val="nil"/>
            </w:tcBorders>
            <w:shd w:val="clear" w:color="auto" w:fill="auto"/>
            <w:vAlign w:val="center"/>
          </w:tcPr>
          <w:p w14:paraId="721AE0CF">
            <w:pPr>
              <w:snapToGrid w:val="0"/>
              <w:spacing w:line="340" w:lineRule="exact"/>
              <w:rPr>
                <w:rFonts w:asciiTheme="minorEastAsia" w:hAnsiTheme="minorEastAsia" w:eastAsiaTheme="minorEastAsia" w:cstheme="minorEastAsia"/>
                <w:szCs w:val="21"/>
              </w:rPr>
            </w:pPr>
          </w:p>
        </w:tc>
        <w:tc>
          <w:tcPr>
            <w:tcW w:w="0" w:type="auto"/>
            <w:tcBorders>
              <w:tl2br w:val="nil"/>
              <w:tr2bl w:val="nil"/>
            </w:tcBorders>
            <w:shd w:val="clear" w:color="auto" w:fill="auto"/>
            <w:vAlign w:val="center"/>
          </w:tcPr>
          <w:p w14:paraId="75BF4043">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禁止在统计抽样中使用此方法。</w:t>
            </w:r>
          </w:p>
        </w:tc>
      </w:tr>
      <w:tr w14:paraId="0C32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trPr>
        <w:tc>
          <w:tcPr>
            <w:tcW w:w="1098" w:type="dxa"/>
            <w:vMerge w:val="restart"/>
            <w:tcBorders>
              <w:tl2br w:val="nil"/>
              <w:tr2bl w:val="nil"/>
            </w:tcBorders>
            <w:shd w:val="clear" w:color="auto" w:fill="auto"/>
            <w:vAlign w:val="center"/>
          </w:tcPr>
          <w:p w14:paraId="7B4D03A9">
            <w:pPr>
              <w:widowControl/>
              <w:snapToGrid w:val="0"/>
              <w:spacing w:line="340" w:lineRule="exact"/>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整群选样</w:t>
            </w:r>
          </w:p>
        </w:tc>
        <w:tc>
          <w:tcPr>
            <w:tcW w:w="3436" w:type="dxa"/>
            <w:vMerge w:val="restart"/>
            <w:tcBorders>
              <w:tl2br w:val="nil"/>
              <w:tr2bl w:val="nil"/>
            </w:tcBorders>
            <w:shd w:val="clear" w:color="auto" w:fill="auto"/>
            <w:vAlign w:val="center"/>
          </w:tcPr>
          <w:p w14:paraId="126897FE">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通常不适用审计抽样，仅在特殊情况下检查连续项目群（如验证某批次存货）。</w:t>
            </w:r>
          </w:p>
        </w:tc>
        <w:tc>
          <w:tcPr>
            <w:tcW w:w="0" w:type="auto"/>
            <w:tcBorders>
              <w:tl2br w:val="nil"/>
              <w:tr2bl w:val="nil"/>
            </w:tcBorders>
            <w:shd w:val="clear" w:color="auto" w:fill="auto"/>
            <w:vAlign w:val="center"/>
          </w:tcPr>
          <w:p w14:paraId="0542C83E">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极少使用，因连续项目可能具有相似特征，无法有效推断总体。</w:t>
            </w:r>
          </w:p>
        </w:tc>
      </w:tr>
      <w:tr w14:paraId="717AB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1098" w:type="dxa"/>
            <w:vMerge w:val="continue"/>
            <w:tcBorders>
              <w:tl2br w:val="nil"/>
              <w:tr2bl w:val="nil"/>
            </w:tcBorders>
            <w:shd w:val="clear" w:color="auto" w:fill="auto"/>
            <w:vAlign w:val="center"/>
          </w:tcPr>
          <w:p w14:paraId="1D4D1F0B">
            <w:pPr>
              <w:snapToGrid w:val="0"/>
              <w:spacing w:line="340" w:lineRule="exact"/>
              <w:rPr>
                <w:rFonts w:asciiTheme="minorEastAsia" w:hAnsiTheme="minorEastAsia" w:eastAsiaTheme="minorEastAsia" w:cstheme="minorEastAsia"/>
                <w:szCs w:val="21"/>
              </w:rPr>
            </w:pPr>
          </w:p>
        </w:tc>
        <w:tc>
          <w:tcPr>
            <w:tcW w:w="3436" w:type="dxa"/>
            <w:vMerge w:val="continue"/>
            <w:tcBorders>
              <w:tl2br w:val="nil"/>
              <w:tr2bl w:val="nil"/>
            </w:tcBorders>
            <w:shd w:val="clear" w:color="auto" w:fill="auto"/>
            <w:vAlign w:val="center"/>
          </w:tcPr>
          <w:p w14:paraId="60DA9C7C">
            <w:pPr>
              <w:snapToGrid w:val="0"/>
              <w:spacing w:line="340" w:lineRule="exact"/>
              <w:rPr>
                <w:rFonts w:asciiTheme="minorEastAsia" w:hAnsiTheme="minorEastAsia" w:eastAsiaTheme="minorEastAsia" w:cstheme="minorEastAsia"/>
                <w:szCs w:val="21"/>
              </w:rPr>
            </w:pPr>
          </w:p>
        </w:tc>
        <w:tc>
          <w:tcPr>
            <w:tcW w:w="0" w:type="auto"/>
            <w:tcBorders>
              <w:tl2br w:val="nil"/>
              <w:tr2bl w:val="nil"/>
            </w:tcBorders>
            <w:shd w:val="clear" w:color="auto" w:fill="auto"/>
            <w:vAlign w:val="center"/>
          </w:tcPr>
          <w:p w14:paraId="36805E6E">
            <w:pPr>
              <w:widowControl/>
              <w:snapToGrid w:val="0"/>
              <w:spacing w:line="34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示例：仅当某批次存货占总体</w:t>
            </w:r>
            <w:r>
              <w:rPr>
                <w:rFonts w:asciiTheme="minorEastAsia" w:hAnsiTheme="minorEastAsia" w:eastAsiaTheme="minorEastAsia" w:cstheme="minorEastAsia"/>
                <w:kern w:val="0"/>
                <w:szCs w:val="21"/>
                <w:lang w:bidi="ar"/>
              </w:rPr>
              <w:t>90%时，可检查该批次作为替代程序。</w:t>
            </w:r>
          </w:p>
        </w:tc>
      </w:tr>
    </w:tbl>
    <w:p w14:paraId="34A7D9A0">
      <w:pPr>
        <w:snapToGrid w:val="0"/>
        <w:spacing w:before="156" w:before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除了采用随意选样、系统选样等方法外，还可以使用分层抽样方法。分层抽样是指先按总体某一标志分成若干互不交叉重叠的层</w:t>
      </w:r>
      <w:r>
        <w:rPr>
          <w:rFonts w:hint="eastAsia" w:asciiTheme="minorEastAsia" w:hAnsiTheme="minorEastAsia" w:cstheme="minorEastAsia"/>
          <w:sz w:val="24"/>
        </w:rPr>
        <w:t>，</w:t>
      </w:r>
      <w:r>
        <w:rPr>
          <w:rFonts w:hint="eastAsia" w:asciiTheme="minorEastAsia" w:hAnsiTheme="minorEastAsia" w:eastAsiaTheme="minorEastAsia" w:cstheme="minorEastAsia"/>
          <w:sz w:val="24"/>
        </w:rPr>
        <w:t>然后在每一层进行独立地简单随机抽样，将各层样本结合起来审查并对总体的目标量进行估计的一种抽样方法。注册会计师可以考虑采用分层以提高审计效率。</w:t>
      </w:r>
    </w:p>
    <w:p w14:paraId="44ABB46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以上述案例为例，函证抽样的总体为</w:t>
      </w:r>
      <w:r>
        <w:rPr>
          <w:rFonts w:asciiTheme="minorEastAsia" w:hAnsiTheme="minorEastAsia" w:eastAsiaTheme="minorEastAsia" w:cstheme="minorEastAsia"/>
          <w:sz w:val="24"/>
        </w:rPr>
        <w:t>16450万元，含1300个项目，按照金额升序或降序的方式对抽样总体项目进行排序，将抽样总体分为金额大约相等的两个部分。被分为8200万元和8250万元两个大约金额相等的部分，如果一个含有项目数为</w:t>
      </w:r>
      <w:r>
        <w:rPr>
          <w:rFonts w:asciiTheme="minorEastAsia" w:hAnsiTheme="minorEastAsia" w:eastAsiaTheme="minorEastAsia" w:cstheme="minorEastAsia"/>
          <w:sz w:val="24"/>
        </w:rPr>
        <w:t>670</w:t>
      </w:r>
      <w:r>
        <w:rPr>
          <w:rFonts w:hint="eastAsia" w:asciiTheme="minorEastAsia" w:hAnsiTheme="minorEastAsia" w:eastAsiaTheme="minorEastAsia" w:cstheme="minorEastAsia"/>
          <w:sz w:val="24"/>
        </w:rPr>
        <w:t>个，而另一个为</w:t>
      </w:r>
      <w:r>
        <w:rPr>
          <w:rFonts w:asciiTheme="minorEastAsia" w:hAnsiTheme="minorEastAsia" w:eastAsiaTheme="minorEastAsia" w:cstheme="minorEastAsia"/>
          <w:sz w:val="24"/>
        </w:rPr>
        <w:t>630</w:t>
      </w:r>
      <w:r>
        <w:rPr>
          <w:rFonts w:hint="eastAsia" w:asciiTheme="minorEastAsia" w:hAnsiTheme="minorEastAsia" w:eastAsiaTheme="minorEastAsia" w:cstheme="minorEastAsia"/>
          <w:sz w:val="24"/>
        </w:rPr>
        <w:t>个，说明样本分布很均匀则不必要分层。如果两部分分别有</w:t>
      </w:r>
      <w:r>
        <w:rPr>
          <w:rFonts w:asciiTheme="minorEastAsia" w:hAnsiTheme="minorEastAsia" w:eastAsiaTheme="minorEastAsia" w:cstheme="minorEastAsia"/>
          <w:sz w:val="24"/>
        </w:rPr>
        <w:t>300</w:t>
      </w:r>
      <w:r>
        <w:rPr>
          <w:rFonts w:hint="eastAsia" w:asciiTheme="minorEastAsia" w:hAnsiTheme="minorEastAsia" w:eastAsiaTheme="minorEastAsia" w:cstheme="minorEastAsia"/>
          <w:sz w:val="24"/>
        </w:rPr>
        <w:t>个和</w:t>
      </w:r>
      <w:r>
        <w:rPr>
          <w:rFonts w:asciiTheme="minorEastAsia" w:hAnsiTheme="minorEastAsia" w:eastAsiaTheme="minorEastAsia" w:cstheme="minorEastAsia"/>
          <w:sz w:val="24"/>
        </w:rPr>
        <w:t>1000</w:t>
      </w:r>
      <w:r>
        <w:rPr>
          <w:rFonts w:hint="eastAsia" w:asciiTheme="minorEastAsia" w:hAnsiTheme="minorEastAsia" w:eastAsiaTheme="minorEastAsia" w:cstheme="minorEastAsia"/>
          <w:sz w:val="24"/>
        </w:rPr>
        <w:t>个项目，则须对其进行分层。在对抽样总体分层后，将样本规模在各层之间分配，以使每层的样本数量大致与该层账户的账面金额成比例。上述总的抽样规模为</w:t>
      </w:r>
      <w:r>
        <w:rPr>
          <w:rFonts w:asciiTheme="minorEastAsia" w:hAnsiTheme="minorEastAsia" w:eastAsiaTheme="minorEastAsia" w:cstheme="minorEastAsia"/>
          <w:sz w:val="24"/>
        </w:rPr>
        <w:t>495个，则每层样本规模可以分别为245个和250个。</w:t>
      </w:r>
    </w:p>
    <w:p w14:paraId="50C6649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尽管分为两层之后的样本金额接近，但是在第一层中</w:t>
      </w:r>
      <w:r>
        <w:rPr>
          <w:rFonts w:asciiTheme="minorEastAsia" w:hAnsiTheme="minorEastAsia" w:eastAsiaTheme="minorEastAsia" w:cstheme="minorEastAsia"/>
          <w:sz w:val="24"/>
        </w:rPr>
        <w:t>300个样本中抽样了245个，而在第二层中1000个样本中</w:t>
      </w:r>
      <w:r>
        <w:rPr>
          <w:rFonts w:hint="eastAsia" w:asciiTheme="minorEastAsia" w:hAnsiTheme="minorEastAsia" w:eastAsiaTheme="minorEastAsia" w:cstheme="minorEastAsia"/>
          <w:sz w:val="24"/>
        </w:rPr>
        <w:t>抽样了</w:t>
      </w:r>
      <w:r>
        <w:rPr>
          <w:rFonts w:asciiTheme="minorEastAsia" w:hAnsiTheme="minorEastAsia" w:eastAsiaTheme="minorEastAsia" w:cstheme="minorEastAsia"/>
          <w:sz w:val="24"/>
        </w:rPr>
        <w:t>250个，使注册会计师能够将更多审计资源投向金额较大的项目</w:t>
      </w:r>
      <w:r>
        <w:rPr>
          <w:rFonts w:hint="eastAsia" w:asciiTheme="minorEastAsia" w:hAnsiTheme="minorEastAsia" w:eastAsiaTheme="minorEastAsia" w:cstheme="minorEastAsia"/>
          <w:sz w:val="24"/>
        </w:rPr>
        <w:t>。</w:t>
      </w:r>
    </w:p>
    <w:p w14:paraId="40049F1A">
      <w:pPr>
        <w:snapToGrid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样本分层表</w:t>
      </w: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778"/>
        <w:gridCol w:w="1779"/>
        <w:gridCol w:w="1779"/>
        <w:gridCol w:w="1721"/>
      </w:tblGrid>
      <w:tr w14:paraId="4CCA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71" w:type="dxa"/>
            <w:vAlign w:val="center"/>
          </w:tcPr>
          <w:p w14:paraId="723F86EC">
            <w:pPr>
              <w:snapToGrid w:val="0"/>
              <w:spacing w:line="34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层</w:t>
            </w:r>
          </w:p>
        </w:tc>
        <w:tc>
          <w:tcPr>
            <w:tcW w:w="1778" w:type="dxa"/>
            <w:vAlign w:val="center"/>
          </w:tcPr>
          <w:p w14:paraId="5E61D85D">
            <w:pPr>
              <w:snapToGrid w:val="0"/>
              <w:spacing w:line="34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账面金额（</w:t>
            </w:r>
            <w:r>
              <w:rPr>
                <w:rFonts w:hint="eastAsia" w:asciiTheme="minorEastAsia" w:hAnsiTheme="minorEastAsia" w:eastAsiaTheme="minorEastAsia" w:cstheme="minorEastAsia"/>
                <w:b/>
                <w:bCs/>
                <w:color w:val="auto"/>
                <w:sz w:val="21"/>
                <w:szCs w:val="21"/>
              </w:rPr>
              <w:t>万元）</w:t>
            </w:r>
          </w:p>
        </w:tc>
        <w:tc>
          <w:tcPr>
            <w:tcW w:w="1779" w:type="dxa"/>
            <w:vAlign w:val="center"/>
          </w:tcPr>
          <w:p w14:paraId="65D06E65">
            <w:pPr>
              <w:snapToGrid w:val="0"/>
              <w:spacing w:line="34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客户数量</w:t>
            </w:r>
            <w:r>
              <w:rPr>
                <w:rFonts w:hint="eastAsia" w:asciiTheme="minorEastAsia" w:hAnsiTheme="minorEastAsia" w:eastAsiaTheme="minorEastAsia" w:cstheme="minorEastAsia"/>
                <w:b/>
                <w:bCs/>
                <w:color w:val="auto"/>
                <w:sz w:val="21"/>
                <w:szCs w:val="21"/>
              </w:rPr>
              <w:t>（个）</w:t>
            </w:r>
          </w:p>
        </w:tc>
        <w:tc>
          <w:tcPr>
            <w:tcW w:w="1779" w:type="dxa"/>
            <w:vAlign w:val="center"/>
          </w:tcPr>
          <w:p w14:paraId="47F38019">
            <w:pPr>
              <w:snapToGrid w:val="0"/>
              <w:spacing w:line="34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抽样数量</w:t>
            </w:r>
            <w:r>
              <w:rPr>
                <w:rFonts w:hint="eastAsia" w:asciiTheme="minorEastAsia" w:hAnsiTheme="minorEastAsia" w:eastAsiaTheme="minorEastAsia" w:cstheme="minorEastAsia"/>
                <w:b/>
                <w:bCs/>
                <w:color w:val="auto"/>
                <w:sz w:val="21"/>
                <w:szCs w:val="21"/>
              </w:rPr>
              <w:t>（个）</w:t>
            </w:r>
          </w:p>
        </w:tc>
        <w:tc>
          <w:tcPr>
            <w:tcW w:w="1721" w:type="dxa"/>
            <w:vAlign w:val="center"/>
          </w:tcPr>
          <w:p w14:paraId="0A4E7981">
            <w:pPr>
              <w:snapToGrid w:val="0"/>
              <w:spacing w:line="34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抽样金额</w:t>
            </w:r>
            <w:r>
              <w:rPr>
                <w:rFonts w:hint="eastAsia" w:asciiTheme="minorEastAsia" w:hAnsiTheme="minorEastAsia" w:eastAsiaTheme="minorEastAsia" w:cstheme="minorEastAsia"/>
                <w:b/>
                <w:bCs/>
                <w:color w:val="auto"/>
                <w:sz w:val="21"/>
                <w:szCs w:val="21"/>
              </w:rPr>
              <w:t>（万元）</w:t>
            </w:r>
          </w:p>
        </w:tc>
      </w:tr>
      <w:tr w14:paraId="3870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1" w:type="dxa"/>
            <w:vAlign w:val="center"/>
          </w:tcPr>
          <w:p w14:paraId="113C10E4">
            <w:pPr>
              <w:snapToGrid w:val="0"/>
              <w:spacing w:line="3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asciiTheme="minorEastAsia" w:hAnsiTheme="minorEastAsia" w:eastAsiaTheme="minorEastAsia" w:cstheme="minorEastAsia"/>
                <w:sz w:val="21"/>
                <w:szCs w:val="21"/>
              </w:rPr>
              <w:t>1层</w:t>
            </w:r>
          </w:p>
        </w:tc>
        <w:tc>
          <w:tcPr>
            <w:tcW w:w="1778" w:type="dxa"/>
            <w:vAlign w:val="center"/>
          </w:tcPr>
          <w:p w14:paraId="628B75DB">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8200</w:t>
            </w:r>
          </w:p>
        </w:tc>
        <w:tc>
          <w:tcPr>
            <w:tcW w:w="1779" w:type="dxa"/>
            <w:vAlign w:val="center"/>
          </w:tcPr>
          <w:p w14:paraId="164DA579">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300</w:t>
            </w:r>
          </w:p>
        </w:tc>
        <w:tc>
          <w:tcPr>
            <w:tcW w:w="1779" w:type="dxa"/>
            <w:vAlign w:val="center"/>
          </w:tcPr>
          <w:p w14:paraId="05E1F956">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245</w:t>
            </w:r>
          </w:p>
        </w:tc>
        <w:tc>
          <w:tcPr>
            <w:tcW w:w="1721" w:type="dxa"/>
            <w:vAlign w:val="center"/>
          </w:tcPr>
          <w:p w14:paraId="798E57D5">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6500</w:t>
            </w:r>
          </w:p>
        </w:tc>
      </w:tr>
      <w:tr w14:paraId="789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71" w:type="dxa"/>
            <w:vAlign w:val="center"/>
          </w:tcPr>
          <w:p w14:paraId="40797043">
            <w:pPr>
              <w:snapToGrid w:val="0"/>
              <w:spacing w:line="3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asciiTheme="minorEastAsia" w:hAnsiTheme="minorEastAsia" w:eastAsiaTheme="minorEastAsia" w:cstheme="minorEastAsia"/>
                <w:sz w:val="21"/>
                <w:szCs w:val="21"/>
              </w:rPr>
              <w:t>2层</w:t>
            </w:r>
          </w:p>
        </w:tc>
        <w:tc>
          <w:tcPr>
            <w:tcW w:w="1778" w:type="dxa"/>
            <w:vAlign w:val="center"/>
          </w:tcPr>
          <w:p w14:paraId="55C83C56">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8250</w:t>
            </w:r>
          </w:p>
        </w:tc>
        <w:tc>
          <w:tcPr>
            <w:tcW w:w="1779" w:type="dxa"/>
            <w:vAlign w:val="center"/>
          </w:tcPr>
          <w:p w14:paraId="661A794B">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1000</w:t>
            </w:r>
          </w:p>
        </w:tc>
        <w:tc>
          <w:tcPr>
            <w:tcW w:w="1779" w:type="dxa"/>
            <w:vAlign w:val="center"/>
          </w:tcPr>
          <w:p w14:paraId="7265BDA1">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250</w:t>
            </w:r>
          </w:p>
        </w:tc>
        <w:tc>
          <w:tcPr>
            <w:tcW w:w="1721" w:type="dxa"/>
            <w:vAlign w:val="center"/>
          </w:tcPr>
          <w:p w14:paraId="606F0A19">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2100</w:t>
            </w:r>
          </w:p>
        </w:tc>
      </w:tr>
      <w:tr w14:paraId="331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71" w:type="dxa"/>
            <w:vAlign w:val="center"/>
          </w:tcPr>
          <w:p w14:paraId="1D64D8F7">
            <w:pPr>
              <w:snapToGrid w:val="0"/>
              <w:spacing w:line="3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778" w:type="dxa"/>
            <w:vAlign w:val="center"/>
          </w:tcPr>
          <w:p w14:paraId="680A4F66">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16450</w:t>
            </w:r>
          </w:p>
        </w:tc>
        <w:tc>
          <w:tcPr>
            <w:tcW w:w="1779" w:type="dxa"/>
            <w:vAlign w:val="center"/>
          </w:tcPr>
          <w:p w14:paraId="3EF0DAE5">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1300</w:t>
            </w:r>
          </w:p>
        </w:tc>
        <w:tc>
          <w:tcPr>
            <w:tcW w:w="1779" w:type="dxa"/>
            <w:vAlign w:val="center"/>
          </w:tcPr>
          <w:p w14:paraId="4D7B6C90">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495</w:t>
            </w:r>
          </w:p>
        </w:tc>
        <w:tc>
          <w:tcPr>
            <w:tcW w:w="1721" w:type="dxa"/>
            <w:vAlign w:val="center"/>
          </w:tcPr>
          <w:p w14:paraId="03371ADA">
            <w:pPr>
              <w:snapToGrid w:val="0"/>
              <w:spacing w:line="34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8600</w:t>
            </w:r>
          </w:p>
        </w:tc>
      </w:tr>
    </w:tbl>
    <w:p w14:paraId="27901B38">
      <w:pPr>
        <w:snapToGrid w:val="0"/>
        <w:spacing w:before="156" w:beforeLines="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注：示例仅供参考，注册会计师需结合《中国注册会计师审计准则第</w:t>
      </w:r>
      <w:r>
        <w:rPr>
          <w:rFonts w:asciiTheme="minorEastAsia" w:hAnsiTheme="minorEastAsia" w:eastAsiaTheme="minorEastAsia" w:cstheme="minorEastAsia"/>
          <w:sz w:val="24"/>
        </w:rPr>
        <w:t xml:space="preserve"> 1314 </w:t>
      </w:r>
      <w:r>
        <w:rPr>
          <w:rFonts w:hint="eastAsia" w:asciiTheme="minorEastAsia" w:hAnsiTheme="minorEastAsia" w:eastAsiaTheme="minorEastAsia" w:cstheme="minorEastAsia"/>
          <w:sz w:val="24"/>
        </w:rPr>
        <w:t>号</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审计抽样》及应用指南，从金额与数量维度科学确定样本规模。</w:t>
      </w:r>
    </w:p>
    <w:p w14:paraId="00385B9A">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四、管理层不允许寄发函证的处理</w:t>
      </w:r>
    </w:p>
    <w:p w14:paraId="3CC3F942">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cstheme="minorEastAsia"/>
          <w:b/>
          <w:bCs/>
          <w:sz w:val="24"/>
        </w:rPr>
        <w:t>（一）</w:t>
      </w:r>
      <w:r>
        <w:rPr>
          <w:rFonts w:hint="eastAsia" w:asciiTheme="minorEastAsia" w:hAnsiTheme="minorEastAsia" w:eastAsiaTheme="minorEastAsia" w:cstheme="minorEastAsia"/>
          <w:b/>
          <w:bCs/>
          <w:sz w:val="24"/>
        </w:rPr>
        <w:t>不允许寄发银行询证函</w:t>
      </w:r>
    </w:p>
    <w:p w14:paraId="5A28E96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w:t>
      </w:r>
      <w:r>
        <w:rPr>
          <w:rFonts w:asciiTheme="minorEastAsia" w:hAnsiTheme="minorEastAsia" w:eastAsiaTheme="minorEastAsia" w:cstheme="minorEastAsia"/>
          <w:sz w:val="24"/>
        </w:rPr>
        <w:t>管理层不允许寄发询证函，且无合理理由</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可能表明函证程序不可靠</w:t>
      </w:r>
      <w:r>
        <w:rPr>
          <w:rFonts w:hint="eastAsia" w:asciiTheme="minorEastAsia" w:hAnsiTheme="minorEastAsia" w:eastAsiaTheme="minorEastAsia" w:cstheme="minorEastAsia"/>
          <w:color w:val="auto"/>
          <w:sz w:val="24"/>
        </w:rPr>
        <w:t>及审计程序受限，</w:t>
      </w:r>
      <w:r>
        <w:rPr>
          <w:rFonts w:hint="eastAsia" w:asciiTheme="minorEastAsia" w:hAnsiTheme="minorEastAsia" w:eastAsiaTheme="minorEastAsia" w:cstheme="minorEastAsia"/>
          <w:sz w:val="24"/>
        </w:rPr>
        <w:t>注册会计师应当考虑按照《中国注册会计师审计准则第</w:t>
      </w:r>
      <w:r>
        <w:rPr>
          <w:rFonts w:asciiTheme="minorEastAsia" w:hAnsiTheme="minorEastAsia" w:eastAsiaTheme="minorEastAsia" w:cstheme="minorEastAsia"/>
          <w:sz w:val="24"/>
        </w:rPr>
        <w:t xml:space="preserve"> 1502 </w:t>
      </w:r>
      <w:r>
        <w:rPr>
          <w:rFonts w:hint="eastAsia" w:asciiTheme="minorEastAsia" w:hAnsiTheme="minorEastAsia" w:eastAsiaTheme="minorEastAsia" w:cstheme="minorEastAsia"/>
          <w:sz w:val="24"/>
        </w:rPr>
        <w:t>号——在审计报告中发表非无保留意见》的规定，确定其对审计工作和审计意见的影响。</w:t>
      </w:r>
    </w:p>
    <w:p w14:paraId="5DFACB45">
      <w:pPr>
        <w:numPr>
          <w:ilvl w:val="0"/>
          <w:numId w:val="3"/>
        </w:num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不允许寄发企业询证函</w:t>
      </w:r>
    </w:p>
    <w:p w14:paraId="2E4B4CCB">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1.询问并记录原因</w:t>
      </w:r>
    </w:p>
    <w:p w14:paraId="2497295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如果管理层不允许对某个项目（如部分涉诉对象、不再继续合作的经销商客户等）寄发询证函，注册会计师应当询问管理层不允许寄发的原因，并就其原因的正当性和合理性收集审计证据。</w:t>
      </w:r>
    </w:p>
    <w:p w14:paraId="78140D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（1）</w:t>
      </w:r>
      <w:r>
        <w:rPr>
          <w:rFonts w:hint="eastAsia" w:asciiTheme="minorEastAsia" w:hAnsiTheme="minorEastAsia" w:eastAsiaTheme="minorEastAsia" w:cstheme="minorEastAsia"/>
          <w:sz w:val="24"/>
        </w:rPr>
        <w:t>如果原因具有正当性和合理性，注册会计师应当实施替代程序，以获取相关、可靠的审计证据；</w:t>
      </w:r>
    </w:p>
    <w:p w14:paraId="37E83C6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（2）</w:t>
      </w:r>
      <w:r>
        <w:rPr>
          <w:rFonts w:hint="eastAsia" w:asciiTheme="minorEastAsia" w:hAnsiTheme="minorEastAsia" w:eastAsiaTheme="minorEastAsia" w:cstheme="minorEastAsia"/>
          <w:sz w:val="24"/>
        </w:rPr>
        <w:t>如果原因不合理，或实施替代程序无法获取相关、可靠的审计证据，注册会计师应当与治理层沟通，并确定该事项对审计工作和审计意见的影响。</w:t>
      </w:r>
    </w:p>
    <w:p w14:paraId="3F245268">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2.评估风险与影响</w:t>
      </w:r>
    </w:p>
    <w:p w14:paraId="39F1DF1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注册会计师应评估管理层不允许寄发询证函对评估的相关重大错报风险（包括舞弊风险）的影响，以及对其他审计程序性质、时间安排和范围的影响。</w:t>
      </w:r>
    </w:p>
    <w:p w14:paraId="2834B81A">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五、函证很可能无效的处理</w:t>
      </w:r>
    </w:p>
    <w:p w14:paraId="57C600E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在特定情况下，对于确定的函证项目，注册会计师可能认为函证很可能无效。函证无效的情况主要有：</w:t>
      </w:r>
      <w:r>
        <w:rPr>
          <w:rFonts w:hint="eastAsia" w:asciiTheme="minorEastAsia" w:hAnsiTheme="minorEastAsia" w:cstheme="minorEastAsia"/>
          <w:sz w:val="24"/>
        </w:rPr>
        <w:t>（1）</w:t>
      </w:r>
      <w:r>
        <w:rPr>
          <w:rFonts w:asciiTheme="minorEastAsia" w:hAnsiTheme="minorEastAsia" w:eastAsiaTheme="minorEastAsia" w:cstheme="minorEastAsia"/>
          <w:sz w:val="24"/>
        </w:rPr>
        <w:t>以往审计经验显示回函率极低；（2）某些特定行业的客户通常不对应收账款询证函回函，如电信行业的个人客户；（3）被询证者系出于制度的规定不能回函的单位，如军工涉密企业无法回函。</w:t>
      </w:r>
    </w:p>
    <w:p w14:paraId="399788C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这些情况下，注册会计师不实施函证程序，应在审计工作底稿中详细记录不予函证的理由。同时，应结合客户性质及实际情况，补充实施进一步的审计程序，包括有效的替代测试、现场走访、电话访谈等，以确保获取相关、可靠的审计证据。</w:t>
      </w:r>
    </w:p>
    <w:p w14:paraId="411E1A6B">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六、常见错误或风险</w:t>
      </w:r>
    </w:p>
    <w:p w14:paraId="544D878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（一）选取函证项目缺乏合理依据或标准不明确，例如随意确定函证项目数量。</w:t>
      </w:r>
    </w:p>
    <w:p w14:paraId="50F7F0B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（二）选取特定项目时，没有明确选取标准，仅以“金额较大”等作为选取理由。</w:t>
      </w:r>
    </w:p>
    <w:p w14:paraId="2F7B571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（三）遗漏了重要或重大错报风险较高的银行账户，如余额较小、零余额或本期内销户但发生额较大的账户，异地开立的账户以及重要分支机构开立的账户等。</w:t>
      </w:r>
    </w:p>
    <w:p w14:paraId="2408065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（四）未对全部银行账户实施函证，但是审计工作底稿未记录不实施函证程序的理由或记录的理由不充分。</w:t>
      </w:r>
    </w:p>
    <w:p w14:paraId="7D0D2F9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（五）在确定函证项目后，未对部分选取项目实施函证，也未在审计工作底稿中说明理由。</w:t>
      </w:r>
    </w:p>
    <w:p w14:paraId="4ECB53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（六）未对应收账款实施函证，但是底稿未记录理由或记录的理由不充分，或未实施替代审计程序获取相关、可靠的审计证据。</w:t>
      </w:r>
    </w:p>
    <w:p w14:paraId="00BBF53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（七）出于节省费用或者其他考虑，以提供银行对账单作为不实施函证的理由。</w:t>
      </w:r>
    </w:p>
    <w:p w14:paraId="269021F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（八）在选定函证项目后，管理层不允许对某个项目寄发询证函，注册会计师未询问管理层不允许寄发询证函的原因，未就其不允许寄发询证函原因的正当性及合理性收集审计证据。</w:t>
      </w:r>
    </w:p>
    <w:p w14:paraId="50553642">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cstheme="minorEastAsia"/>
          <w:b/>
          <w:bCs/>
          <w:sz w:val="24"/>
        </w:rPr>
        <w:t>七</w:t>
      </w:r>
      <w:r>
        <w:rPr>
          <w:rFonts w:hint="eastAsia" w:asciiTheme="minorEastAsia" w:hAnsiTheme="minorEastAsia" w:eastAsiaTheme="minorEastAsia" w:cstheme="minorEastAsia"/>
          <w:b/>
          <w:bCs/>
          <w:sz w:val="24"/>
        </w:rPr>
        <w:t>、选取函证样本工作底稿</w:t>
      </w:r>
    </w:p>
    <w:p w14:paraId="60AD8DF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注册会计师应在工作底稿中记录所选择的样本特征、样本选择过程和结果。</w:t>
      </w:r>
    </w:p>
    <w:p w14:paraId="6B6462F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使用审计抽样时，应详细记录抽样方法（统计抽样还是非统计抽样）、统计抽样中涉及的参数和相关考虑。</w:t>
      </w:r>
    </w:p>
    <w:p w14:paraId="4BD602E4">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对于未实施函证的项目，应记录不予函证的理由及实施的替代程序。</w:t>
      </w:r>
    </w:p>
    <w:p w14:paraId="46FA3758">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53" w:name="_Toc30408"/>
      <w:bookmarkStart w:id="54" w:name="_Toc19595"/>
      <w:bookmarkStart w:id="55" w:name="_Toc22819"/>
      <w:r>
        <w:rPr>
          <w:rFonts w:hint="eastAsia" w:asciiTheme="minorEastAsia" w:hAnsiTheme="minorEastAsia" w:eastAsiaTheme="minorEastAsia" w:cstheme="minorEastAsia"/>
          <w:b/>
          <w:bCs/>
          <w:sz w:val="24"/>
        </w:rPr>
        <w:t>第四节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核对被函证单位信息</w:t>
      </w:r>
      <w:bookmarkEnd w:id="53"/>
      <w:bookmarkEnd w:id="54"/>
      <w:bookmarkEnd w:id="55"/>
    </w:p>
    <w:p w14:paraId="32A9BCBA">
      <w:pPr>
        <w:snapToGrid w:val="0"/>
        <w:spacing w:line="360" w:lineRule="auto"/>
        <w:ind w:firstLine="482" w:firstLineChars="200"/>
        <w:outlineLvl w:val="2"/>
        <w:rPr>
          <w:rFonts w:asciiTheme="minorEastAsia" w:hAnsiTheme="minorEastAsia" w:cstheme="minorEastAsia"/>
          <w:b/>
          <w:bCs/>
          <w:sz w:val="24"/>
        </w:rPr>
      </w:pPr>
    </w:p>
    <w:p w14:paraId="30EEF4BC">
      <w:pPr>
        <w:snapToGrid w:val="0"/>
        <w:spacing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一、函证信息核对与验证</w:t>
      </w:r>
    </w:p>
    <w:p w14:paraId="72FCEC64">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（一）信息获取</w:t>
      </w:r>
    </w:p>
    <w:p w14:paraId="7C20E19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向被审计单位索取被函证单位的详细地址（明确区分经营地与注册地）、相关联系人、联系电话（包括办公座机号码、私人手机号码、传真号码）等全面信息。</w:t>
      </w:r>
    </w:p>
    <w:p w14:paraId="257B7915">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（二）信息验证</w:t>
      </w:r>
    </w:p>
    <w:p w14:paraId="50F20D1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部分或全面验证，根据函证项目的重要性和风险程度，对部分或全部被函证单位的信息进行有效性验证。将核实过程中形成的痕迹证据及文字记录等详细记录在审计工作底稿中。</w:t>
      </w:r>
    </w:p>
    <w:p w14:paraId="21900AE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（三）具体验证程序</w:t>
      </w:r>
    </w:p>
    <w:p w14:paraId="5DDD755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注册会计师可以执行的函证信息验证程序包括但不限于：</w:t>
      </w:r>
    </w:p>
    <w:p w14:paraId="3274A3F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公共电话查询：通过公开查询系统或工具查询或者拨打公共查询电话核对被询证单位的名称和地址。</w:t>
      </w:r>
    </w:p>
    <w:p w14:paraId="489B60E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网站核对：利用被函证单位的官方网站或其他可靠公开网站</w:t>
      </w:r>
      <w:r>
        <w:rPr>
          <w:rFonts w:hint="eastAsia" w:asciiTheme="minorEastAsia" w:hAnsiTheme="minorEastAsia" w:eastAsiaTheme="minorEastAsia" w:cstheme="minorEastAsia"/>
          <w:color w:val="auto"/>
          <w:sz w:val="24"/>
        </w:rPr>
        <w:t>（如企查查等）</w:t>
      </w:r>
      <w:r>
        <w:rPr>
          <w:rFonts w:hint="eastAsia" w:asciiTheme="minorEastAsia" w:hAnsiTheme="minorEastAsia" w:eastAsiaTheme="minorEastAsia" w:cstheme="minorEastAsia"/>
          <w:sz w:val="24"/>
        </w:rPr>
        <w:t>进行信息核对，并保存网站查询记录的截屏作为证据。</w:t>
      </w:r>
    </w:p>
    <w:p w14:paraId="0601F3B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内部资料比对：将被函证单位的名称和地址信息与被审计单位持有的相关资料（如客户或供应商清单、销售或采购合同、增值税发票、日常票证或商品邮寄地址等）进行仔细比对。</w:t>
      </w:r>
    </w:p>
    <w:p w14:paraId="49A770C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历史记录比对：检查以前年度或本所其他审计项目中对同一被函证单位的函证地址是否一致，以发现任何潜在的不一致或变化。</w:t>
      </w:r>
    </w:p>
    <w:p w14:paraId="45897B1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银行函证特别处理：对于银行函证，需将被询证银行的名称和地址信息与开户手续、银行凭单、贷款合同等官方资料或与银行官网查询的网点地址进行交叉核对。</w:t>
      </w:r>
    </w:p>
    <w:p w14:paraId="6D6CD286">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（四）特殊事项关注</w:t>
      </w:r>
    </w:p>
    <w:p w14:paraId="7E6D2F02">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cstheme="minorEastAsia"/>
          <w:b/>
          <w:bCs/>
          <w:sz w:val="24"/>
        </w:rPr>
        <w:t>1.</w:t>
      </w:r>
      <w:r>
        <w:rPr>
          <w:rFonts w:hint="eastAsia" w:asciiTheme="minorEastAsia" w:hAnsiTheme="minorEastAsia" w:eastAsiaTheme="minorEastAsia" w:cstheme="minorEastAsia"/>
          <w:b/>
          <w:bCs/>
          <w:sz w:val="24"/>
        </w:rPr>
        <w:t>地址不一致的处理。</w:t>
      </w:r>
      <w:r>
        <w:rPr>
          <w:rFonts w:hint="eastAsia" w:asciiTheme="minorEastAsia" w:hAnsiTheme="minorEastAsia" w:eastAsiaTheme="minorEastAsia" w:cstheme="minorEastAsia"/>
          <w:sz w:val="24"/>
        </w:rPr>
        <w:t>若被函证单位的函证地址与注册地不一致，应获取有效证据证明其为真实经营地址，并要求被审计单位提供书面说明，同时评估其合理性。</w:t>
      </w:r>
    </w:p>
    <w:p w14:paraId="6EAD3FFA">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cstheme="minorEastAsia"/>
          <w:b/>
          <w:bCs/>
          <w:sz w:val="24"/>
        </w:rPr>
        <w:t>2.</w:t>
      </w:r>
      <w:r>
        <w:rPr>
          <w:rFonts w:hint="eastAsia" w:asciiTheme="minorEastAsia" w:hAnsiTheme="minorEastAsia" w:eastAsiaTheme="minorEastAsia" w:cstheme="minorEastAsia"/>
          <w:b/>
          <w:bCs/>
          <w:sz w:val="24"/>
        </w:rPr>
        <w:t>地址变更调查。</w:t>
      </w:r>
      <w:r>
        <w:rPr>
          <w:rFonts w:hint="eastAsia" w:asciiTheme="minorEastAsia" w:hAnsiTheme="minorEastAsia" w:eastAsiaTheme="minorEastAsia" w:cstheme="minorEastAsia"/>
          <w:sz w:val="24"/>
        </w:rPr>
        <w:t>对于函证地址与以前年度或本所其他项目不一致的情况，应进一步调查原因并评估其合理性。</w:t>
      </w:r>
    </w:p>
    <w:p w14:paraId="70ACEAB9">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cstheme="minorEastAsia"/>
          <w:b/>
          <w:bCs/>
          <w:sz w:val="24"/>
        </w:rPr>
        <w:t>3.</w:t>
      </w:r>
      <w:r>
        <w:rPr>
          <w:rFonts w:hint="eastAsia" w:asciiTheme="minorEastAsia" w:hAnsiTheme="minorEastAsia" w:eastAsiaTheme="minorEastAsia" w:cstheme="minorEastAsia"/>
          <w:b/>
          <w:bCs/>
          <w:sz w:val="24"/>
        </w:rPr>
        <w:t>转交地址确认。</w:t>
      </w:r>
      <w:r>
        <w:rPr>
          <w:rFonts w:hint="eastAsia" w:asciiTheme="minorEastAsia" w:hAnsiTheme="minorEastAsia" w:eastAsiaTheme="minorEastAsia" w:cstheme="minorEastAsia"/>
          <w:sz w:val="24"/>
        </w:rPr>
        <w:t>对于“转交”地址，应进行额外调查以确认其正确性和有效性。</w:t>
      </w:r>
    </w:p>
    <w:p w14:paraId="286BC0B2">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cstheme="minorEastAsia"/>
          <w:b/>
          <w:bCs/>
          <w:sz w:val="24"/>
        </w:rPr>
        <w:t>4.</w:t>
      </w:r>
      <w:r>
        <w:rPr>
          <w:rFonts w:hint="eastAsia" w:asciiTheme="minorEastAsia" w:hAnsiTheme="minorEastAsia" w:eastAsiaTheme="minorEastAsia" w:cstheme="minorEastAsia"/>
          <w:b/>
          <w:bCs/>
          <w:sz w:val="24"/>
        </w:rPr>
        <w:t>被询证者适当性评估。</w:t>
      </w:r>
    </w:p>
    <w:p w14:paraId="5DD5D8F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在选择被询证者时，注册会计师应考虑其是否对被函证信息知情、是否具有客观性以及是否拥有回函的授权。</w:t>
      </w:r>
    </w:p>
    <w:p w14:paraId="38A739E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可以通过获取被审计单位业务部门与被询证者的往来邮件、函件、名片等，进一步核实被询证者的身份和联系方式，确保其适当性。</w:t>
      </w:r>
    </w:p>
    <w:p w14:paraId="743288E3">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二、常见的错误或风险</w:t>
      </w:r>
    </w:p>
    <w:p w14:paraId="28ED46B4">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（一）管理层提供的函证相关信息含糊、矛盾、不完整或有缺失。</w:t>
      </w:r>
      <w:r>
        <w:rPr>
          <w:rFonts w:hint="eastAsia" w:asciiTheme="minorEastAsia" w:hAnsiTheme="minorEastAsia" w:eastAsiaTheme="minorEastAsia" w:cstheme="minorEastAsia"/>
          <w:sz w:val="24"/>
        </w:rPr>
        <w:t>注册会计师未进行验证核实。</w:t>
      </w:r>
    </w:p>
    <w:p w14:paraId="7238223C">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（二）未记录验证程序及结果。</w:t>
      </w:r>
      <w:r>
        <w:rPr>
          <w:rFonts w:hint="eastAsia" w:asciiTheme="minorEastAsia" w:hAnsiTheme="minorEastAsia" w:eastAsiaTheme="minorEastAsia" w:cstheme="minorEastAsia"/>
          <w:sz w:val="24"/>
        </w:rPr>
        <w:t>注册会计师并未在审计工作底稿中记录对被询证单位函证信息的有效性执行的验证程序及其结果。</w:t>
      </w:r>
    </w:p>
    <w:p w14:paraId="40E4EDB9">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（三）错误地址。</w:t>
      </w:r>
      <w:r>
        <w:rPr>
          <w:rFonts w:hint="eastAsia" w:asciiTheme="minorEastAsia" w:hAnsiTheme="minorEastAsia" w:eastAsiaTheme="minorEastAsia" w:cstheme="minorEastAsia"/>
          <w:sz w:val="24"/>
        </w:rPr>
        <w:t>询证函发出前，未认真核对被询证者的名称，未识别并验证被询证者的适当人员、地址，而是根据被审计单位提供的错误地址寄发函证。</w:t>
      </w:r>
    </w:p>
    <w:p w14:paraId="2C43A1F5">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三、核对函证信息工作底稿</w:t>
      </w:r>
    </w:p>
    <w:p w14:paraId="6E9C13E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（一）</w:t>
      </w:r>
      <w:r>
        <w:rPr>
          <w:rFonts w:asciiTheme="minorEastAsia" w:hAnsiTheme="minorEastAsia" w:eastAsiaTheme="minorEastAsia" w:cstheme="minorEastAsia"/>
          <w:sz w:val="24"/>
        </w:rPr>
        <w:t>函证地址等信息核对过程记录和控制；</w:t>
      </w:r>
    </w:p>
    <w:p w14:paraId="542B4B9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（二）</w:t>
      </w:r>
      <w:r>
        <w:rPr>
          <w:rFonts w:hint="eastAsia" w:asciiTheme="minorEastAsia" w:hAnsiTheme="minorEastAsia" w:eastAsiaTheme="minorEastAsia" w:cstheme="minorEastAsia"/>
          <w:sz w:val="24"/>
        </w:rPr>
        <w:t>网站查询结果截屏或链接；</w:t>
      </w:r>
    </w:p>
    <w:p w14:paraId="34C95695">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（三）</w:t>
      </w:r>
      <w:r>
        <w:rPr>
          <w:rFonts w:hint="eastAsia" w:asciiTheme="minorEastAsia" w:hAnsiTheme="minorEastAsia" w:eastAsiaTheme="minorEastAsia" w:cstheme="minorEastAsia"/>
          <w:sz w:val="24"/>
        </w:rPr>
        <w:t>交易合同、增值税专用发票、发货收货记录以及被审计单位的说明、被询证单位迁址说明等。</w:t>
      </w:r>
    </w:p>
    <w:p w14:paraId="0B01FBBD">
      <w:pPr>
        <w:snapToGrid w:val="0"/>
        <w:spacing w:line="360" w:lineRule="auto"/>
        <w:ind w:firstLine="480" w:firstLineChars="200"/>
        <w:rPr>
          <w:rFonts w:asciiTheme="minorEastAsia" w:hAnsiTheme="minorEastAsia" w:eastAsiaTheme="minorEastAsia" w:cstheme="minorEastAsia"/>
          <w:sz w:val="24"/>
          <w:highlight w:val="none"/>
        </w:rPr>
      </w:pPr>
    </w:p>
    <w:p w14:paraId="7C970015">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56" w:name="_Toc16543"/>
      <w:bookmarkStart w:id="57" w:name="_Toc16135"/>
      <w:bookmarkStart w:id="58" w:name="_Toc8452"/>
      <w:r>
        <w:rPr>
          <w:rFonts w:hint="eastAsia" w:asciiTheme="minorEastAsia" w:hAnsiTheme="minorEastAsia" w:eastAsiaTheme="minorEastAsia" w:cstheme="minorEastAsia"/>
          <w:b/>
          <w:bCs/>
          <w:sz w:val="24"/>
        </w:rPr>
        <w:t>第五节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编制询证函</w:t>
      </w:r>
      <w:bookmarkEnd w:id="56"/>
      <w:bookmarkEnd w:id="57"/>
      <w:bookmarkEnd w:id="58"/>
    </w:p>
    <w:p w14:paraId="7AC468E5">
      <w:pPr>
        <w:snapToGrid w:val="0"/>
        <w:spacing w:line="360" w:lineRule="auto"/>
        <w:ind w:firstLine="482" w:firstLineChars="200"/>
        <w:outlineLvl w:val="2"/>
        <w:rPr>
          <w:rFonts w:asciiTheme="minorEastAsia" w:hAnsiTheme="minorEastAsia" w:cstheme="minorEastAsia"/>
          <w:b/>
          <w:bCs/>
          <w:sz w:val="24"/>
        </w:rPr>
      </w:pPr>
    </w:p>
    <w:p w14:paraId="2FFD1F44">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一、函证内容</w:t>
      </w:r>
    </w:p>
    <w:p w14:paraId="79F5CA4C">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（一）银行函证的内容</w:t>
      </w:r>
    </w:p>
    <w:p w14:paraId="5554ADB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询证函应按照《银行函证工作操作指引》（财办会〔</w:t>
      </w:r>
      <w:r>
        <w:rPr>
          <w:rFonts w:asciiTheme="minorEastAsia" w:hAnsiTheme="minorEastAsia" w:eastAsiaTheme="minorEastAsia" w:cstheme="minorEastAsia"/>
          <w:sz w:val="24"/>
        </w:rPr>
        <w:t>2024〕2号）的格式及要求严格填制。注册会计师应注意将同一银行的不同账户及全部1-14</w:t>
      </w:r>
      <w:r>
        <w:rPr>
          <w:rFonts w:hint="eastAsia" w:asciiTheme="minorEastAsia" w:hAnsiTheme="minorEastAsia" w:eastAsiaTheme="minorEastAsia" w:cstheme="minorEastAsia"/>
          <w:sz w:val="24"/>
        </w:rPr>
        <w:t>项交易类型，包括存款、贷款、票据、担保、理财产品等，一并纳入函证范围。</w:t>
      </w:r>
    </w:p>
    <w:p w14:paraId="49A905ED">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（二）企业函证的内容</w:t>
      </w:r>
    </w:p>
    <w:p w14:paraId="05DBD6B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询证函的内容应服从于审计目标的需要，如果所在会计师事务所内部已经发布了询证函模板，注册会计师可在参考模板编制，必要时需要根据实际情况就需要确认的信息，对格式内容和表述进行增减和修改。例如，在针对账户余额的存在认定获取审计证据时，应当在询证函中列明相关信息，要求对方确认；在针对账户余额的完整性认定获取审计证据时，则需要改变询证函的内容设计。</w:t>
      </w:r>
    </w:p>
    <w:p w14:paraId="4F3C50C9">
      <w:pPr>
        <w:snapToGrid w:val="0"/>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在设计函证内容时注册会计师应关注但不限于以下事项：</w:t>
      </w:r>
    </w:p>
    <w:p w14:paraId="4D5A2B11">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1.货币单位的列示。</w:t>
      </w:r>
      <w:r>
        <w:rPr>
          <w:rFonts w:asciiTheme="minorEastAsia" w:hAnsiTheme="minorEastAsia" w:eastAsiaTheme="minorEastAsia" w:cstheme="minorEastAsia"/>
          <w:sz w:val="24"/>
        </w:rPr>
        <w:t>在函证涉及不同货币核算的账户余额时，注册会计师应当列明原币币种及相应金额，以确保信息的准确性和可比性。</w:t>
      </w:r>
    </w:p>
    <w:p w14:paraId="5A8EC436">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2.函证内容的扩展。</w:t>
      </w:r>
      <w:r>
        <w:rPr>
          <w:rFonts w:asciiTheme="minorEastAsia" w:hAnsiTheme="minorEastAsia" w:eastAsiaTheme="minorEastAsia" w:cstheme="minorEastAsia"/>
          <w:sz w:val="24"/>
        </w:rPr>
        <w:t>企业询证函的内容不必仅局限于账户余额及其要素信息，根据风险评估结果还可以考虑对被审计单位与第三方之间的协议或交易条款，或是否存在可能影响被审计单位收入确认的“秘密协议”或“私下交易”等进行函证。</w:t>
      </w:r>
    </w:p>
    <w:p w14:paraId="6E0ADDBE">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3.期初余额。</w:t>
      </w:r>
      <w:r>
        <w:rPr>
          <w:rFonts w:asciiTheme="minorEastAsia" w:hAnsiTheme="minorEastAsia" w:eastAsiaTheme="minorEastAsia" w:cstheme="minorEastAsia"/>
          <w:sz w:val="24"/>
        </w:rPr>
        <w:t>对于新承接的审计客户，函证内容除包括账户的期末余额及其构成要素外，还应涵盖账户的期初余额（或审计期间涵盖的余额）及其构成要素。</w:t>
      </w:r>
    </w:p>
    <w:p w14:paraId="7A036E49">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4.往来函证的综合性。</w:t>
      </w:r>
      <w:r>
        <w:rPr>
          <w:rFonts w:asciiTheme="minorEastAsia" w:hAnsiTheme="minorEastAsia" w:eastAsiaTheme="minorEastAsia" w:cstheme="minorEastAsia"/>
          <w:sz w:val="24"/>
        </w:rPr>
        <w:t>在实施往来款项函证时，应将同一客户的不同性质的往来款项纳入函证，并考虑对当期交易事项、交易数量、交易价格、交易金额、合同履约状态、结算信用期、已结算金额、已收或已付金额（货币资金或票据）、未履行的合同或重大承诺事项等进行函证。</w:t>
      </w:r>
    </w:p>
    <w:p w14:paraId="44448E15">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5.合同或担保事项的明确性。</w:t>
      </w:r>
      <w:r>
        <w:rPr>
          <w:rFonts w:asciiTheme="minorEastAsia" w:hAnsiTheme="minorEastAsia" w:eastAsiaTheme="minorEastAsia" w:cstheme="minorEastAsia"/>
          <w:sz w:val="24"/>
        </w:rPr>
        <w:t>对于交易合同、担保事项本身或其中某一条款的函证，注册会计师应在函证中明确说明合同的约定情况。</w:t>
      </w:r>
    </w:p>
    <w:p w14:paraId="4CD7BFD7">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6.交易项目金额和数量的确定。</w:t>
      </w:r>
      <w:r>
        <w:rPr>
          <w:rFonts w:asciiTheme="minorEastAsia" w:hAnsiTheme="minorEastAsia" w:eastAsiaTheme="minorEastAsia" w:cstheme="minorEastAsia"/>
          <w:sz w:val="24"/>
        </w:rPr>
        <w:t>在对交易项目金额进行函证时，应从明细账户中确定；对交易数量进行函证时，应从保管或销售发货记录中确定，并注意函证数量应包括尚未结算的发出商品数量。</w:t>
      </w:r>
    </w:p>
    <w:p w14:paraId="2D11872A">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7.函证文本的完整性。</w:t>
      </w:r>
      <w:r>
        <w:rPr>
          <w:rFonts w:asciiTheme="minorEastAsia" w:hAnsiTheme="minorEastAsia" w:eastAsiaTheme="minorEastAsia" w:cstheme="minorEastAsia"/>
          <w:sz w:val="24"/>
        </w:rPr>
        <w:t>当函证文本为多页时，注册会计师应在函证文本上注明提请被询证单位协助加盖骑缝章的字样，以确保回函的完整性和防止篡改。</w:t>
      </w:r>
    </w:p>
    <w:p w14:paraId="6EBCC67D">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8.被询证单位信息提供能力的评估。</w:t>
      </w:r>
      <w:r>
        <w:rPr>
          <w:rFonts w:asciiTheme="minorEastAsia" w:hAnsiTheme="minorEastAsia" w:eastAsiaTheme="minorEastAsia" w:cstheme="minorEastAsia"/>
          <w:sz w:val="24"/>
        </w:rPr>
        <w:t>注册会计师应考虑预期的被询证单位确认或提供信息的能力，例如被询证单位能够提供的信息是单张发票金额还是总额。</w:t>
      </w:r>
    </w:p>
    <w:p w14:paraId="4C041632">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二、确定函证方式</w:t>
      </w:r>
    </w:p>
    <w:p w14:paraId="7DFB54D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方式包括积极式函证、消极式函证。积极式函证，是指要求被询证者直接向注册会计师回复，表明是否同意询证函所列示的信息，或填列所要求的信息的一种询证方式。消极式函证，是指要求被询证者只有在不同意询证函所列示的信息时才直接向注册会计师回复的一种询证方式。</w:t>
      </w:r>
    </w:p>
    <w:p w14:paraId="34CEF0F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《中国注册会计师审计准则第</w:t>
      </w:r>
      <w:r>
        <w:rPr>
          <w:rFonts w:asciiTheme="minorEastAsia" w:hAnsiTheme="minorEastAsia" w:eastAsiaTheme="minorEastAsia" w:cstheme="minorEastAsia"/>
          <w:sz w:val="24"/>
        </w:rPr>
        <w:t xml:space="preserve">1312号——函 </w:t>
      </w:r>
      <w:r>
        <w:rPr>
          <w:rFonts w:hint="eastAsia" w:asciiTheme="minorEastAsia" w:hAnsiTheme="minorEastAsia" w:eastAsiaTheme="minorEastAsia" w:cstheme="minorEastAsia"/>
          <w:sz w:val="24"/>
        </w:rPr>
        <w:t>证》第二十二条规定，消极式函证比积极式函证提供的审计证据的说服力低。除非同时满足下列条件，注册会计师不得将消极式函证作为唯一实质性程序，以应对评估的认定层次重大错报风险：</w:t>
      </w:r>
    </w:p>
    <w:p w14:paraId="51EB0E2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（一）注册会计师将重大错报风险评估为低水平，并已就与认定相关的控制运行的有效性获取了充分、适当的审计证据；</w:t>
      </w:r>
    </w:p>
    <w:p w14:paraId="536D39C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（二）需要实施消极式函证程序的总体由大量小额、同质的账户余额、交易或事项构成；</w:t>
      </w:r>
    </w:p>
    <w:p w14:paraId="62E1AAF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（三）预期不符事项的发生率很低；</w:t>
      </w:r>
    </w:p>
    <w:p w14:paraId="07FAE61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（四）没有迹象表明接收询证函的人员或机构不认真对待函证。</w:t>
      </w:r>
    </w:p>
    <w:p w14:paraId="1AC3A54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积极式函证要求被询证者在所有情况下都必须回函，确认所列示的信息是否正确或填列询证函要求的信息。通常认为，对积极式询证函的回函能够提供可靠的审计证据。鉴于消极式函证比积极式函证提供的审计证据的说服力低，因此本指引建议在设计询证函时，尽可能采用积极式函证，若采用消极式函证，注册会计师应记录原因或考虑的因素。</w:t>
      </w:r>
    </w:p>
    <w:p w14:paraId="3E4D2DE3">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三、填写与检查</w:t>
      </w:r>
    </w:p>
    <w:p w14:paraId="6890C3AD">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（一）填写</w:t>
      </w:r>
    </w:p>
    <w:p w14:paraId="2ED67FF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采用集约化函证的会计师事务所可由函证系统生成询证函，其他会计师事务所手动填写询证函，两种方式均需保证信息的准确性和一致性。</w:t>
      </w:r>
    </w:p>
    <w:p w14:paraId="28B55EA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注册会计师应尽量使用电脑填写询证函内容。一是避免出现涂改、篡改询证函的情况；二是保证函证内容清晰、字迹工整。</w:t>
      </w:r>
    </w:p>
    <w:p w14:paraId="706FF301">
      <w:pPr>
        <w:numPr>
          <w:ilvl w:val="0"/>
          <w:numId w:val="4"/>
        </w:num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检查回函信息</w:t>
      </w:r>
      <w:r>
        <w:rPr>
          <w:rFonts w:asciiTheme="minorEastAsia" w:hAnsiTheme="minorEastAsia" w:eastAsiaTheme="minorEastAsia" w:cstheme="minorEastAsia"/>
          <w:b/>
          <w:bCs/>
          <w:sz w:val="24"/>
        </w:rPr>
        <w:t xml:space="preserve"> </w:t>
      </w:r>
    </w:p>
    <w:p w14:paraId="227AEF6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检查询证函中是否已正确填列被询证单位直接向会计师事务所回函的方式，包括邮寄地址、收件人、联系电话等详细信息，并确保询证函上填写的信息有效。</w:t>
      </w:r>
    </w:p>
    <w:p w14:paraId="78686B8B">
      <w:pPr>
        <w:numPr>
          <w:ilvl w:val="0"/>
          <w:numId w:val="4"/>
        </w:num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核对函证信息。</w:t>
      </w:r>
    </w:p>
    <w:p w14:paraId="5EAEBBA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被审计单位核对函证信息，确保所有账户信息、交易细节及余额数据均准确无误。特别是当被询证单位存在多项往来款中挂账时，应将相关信息整合在同一份询证函中，还可以考虑对当期交易事项、交易数量、交易价格、交易金额、合同履约状态、结算信用期、已结算金额、已收或已付金额（货币资金或票据）、尚未履行的合同或重大承诺事项等进行函证。</w:t>
      </w:r>
    </w:p>
    <w:p w14:paraId="63ECFF5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（四）银行询证函的特殊考虑</w:t>
      </w:r>
    </w:p>
    <w:p w14:paraId="7DF7EB17">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color w:val="auto"/>
          <w:sz w:val="24"/>
        </w:rPr>
        <w:t>1.</w:t>
      </w:r>
      <w:r>
        <w:rPr>
          <w:rFonts w:hint="eastAsia" w:asciiTheme="minorEastAsia" w:hAnsiTheme="minorEastAsia" w:eastAsiaTheme="minorEastAsia" w:cstheme="minorEastAsia"/>
          <w:sz w:val="24"/>
        </w:rPr>
        <w:t>对于境内银行的询证函，应使用《银行函证工作操作指引》（财办会〔</w:t>
      </w:r>
      <w:r>
        <w:rPr>
          <w:rFonts w:asciiTheme="minorEastAsia" w:hAnsiTheme="minorEastAsia" w:eastAsiaTheme="minorEastAsia" w:cstheme="minorEastAsia"/>
          <w:sz w:val="24"/>
        </w:rPr>
        <w:t>2024〕2号）提供的标准格式，避免因为格式的修改导致因为银行不予回函。</w:t>
      </w:r>
    </w:p>
    <w:p w14:paraId="2FFBF31B">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color w:val="auto"/>
          <w:sz w:val="24"/>
        </w:rPr>
        <w:t>2.</w:t>
      </w:r>
      <w:r>
        <w:rPr>
          <w:rFonts w:hint="eastAsia" w:asciiTheme="minorEastAsia" w:hAnsiTheme="minorEastAsia" w:eastAsiaTheme="minorEastAsia" w:cstheme="minorEastAsia"/>
          <w:sz w:val="24"/>
        </w:rPr>
        <w:t>银行询证函标准格式由</w:t>
      </w:r>
      <w:r>
        <w:rPr>
          <w:rFonts w:asciiTheme="minorEastAsia" w:hAnsiTheme="minorEastAsia" w:eastAsiaTheme="minorEastAsia" w:cstheme="minorEastAsia"/>
          <w:sz w:val="24"/>
        </w:rPr>
        <w:t>13</w:t>
      </w:r>
      <w:r>
        <w:rPr>
          <w:rFonts w:hint="eastAsia" w:asciiTheme="minorEastAsia" w:hAnsiTheme="minorEastAsia" w:eastAsiaTheme="minorEastAsia" w:cstheme="minorEastAsia"/>
          <w:sz w:val="24"/>
        </w:rPr>
        <w:t>项具体业务函证事项和其他函证事项组成，</w:t>
      </w:r>
      <w:r>
        <w:rPr>
          <w:rFonts w:asciiTheme="minorEastAsia" w:hAnsiTheme="minorEastAsia" w:eastAsiaTheme="minorEastAsia" w:cstheme="minorEastAsia"/>
          <w:sz w:val="24"/>
        </w:rPr>
        <w:t>13</w:t>
      </w:r>
      <w:r>
        <w:rPr>
          <w:rFonts w:hint="eastAsia" w:asciiTheme="minorEastAsia" w:hAnsiTheme="minorEastAsia" w:eastAsiaTheme="minorEastAsia" w:cstheme="minorEastAsia"/>
          <w:sz w:val="24"/>
        </w:rPr>
        <w:t>项具体业务函证事项基本囊括了企业与银行所有业务往来，注册会计师在填写询证函之前，应了解并核实被审计单位与被询证银行之间在报告期内发生的所有业务事项。在填写相关函证信息时应注意不能留白，所有的空白未填写部分均应划线或填写“无”。比如：银行存款信息中“是否存在冻结、担保或其他使用限制”。</w:t>
      </w:r>
    </w:p>
    <w:p w14:paraId="5804F1D4">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color w:val="auto"/>
          <w:sz w:val="24"/>
        </w:rPr>
        <w:t>3.</w:t>
      </w:r>
      <w:r>
        <w:rPr>
          <w:rFonts w:hint="eastAsia" w:asciiTheme="minorEastAsia" w:hAnsiTheme="minorEastAsia" w:eastAsiaTheme="minorEastAsia" w:cstheme="minorEastAsia"/>
          <w:sz w:val="24"/>
        </w:rPr>
        <w:t>如果对报告期内没有发生业务的函证事项采用留白方式填写，在采取亲往跟函的方式时，应观察银行工作人员对待函证的程序和方法，必要时提醒关注空白处事项银行系统是否存在。</w:t>
      </w:r>
    </w:p>
    <w:p w14:paraId="50B84EEF">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color w:val="auto"/>
          <w:sz w:val="24"/>
        </w:rPr>
        <w:t>4.</w:t>
      </w:r>
      <w:r>
        <w:rPr>
          <w:rFonts w:hint="eastAsia" w:asciiTheme="minorEastAsia" w:hAnsiTheme="minorEastAsia" w:eastAsiaTheme="minorEastAsia" w:cstheme="minorEastAsia"/>
          <w:sz w:val="24"/>
        </w:rPr>
        <w:t>如果注册会计师认为存在《银行函证工作操作指引》（财办会〔</w:t>
      </w:r>
      <w:r>
        <w:rPr>
          <w:rFonts w:asciiTheme="minorEastAsia" w:hAnsiTheme="minorEastAsia" w:eastAsiaTheme="minorEastAsia" w:cstheme="minorEastAsia"/>
          <w:sz w:val="24"/>
        </w:rPr>
        <w:t>2024〕2号）提供的标准格式中的13</w:t>
      </w:r>
      <w:r>
        <w:rPr>
          <w:rFonts w:hint="eastAsia" w:asciiTheme="minorEastAsia" w:hAnsiTheme="minorEastAsia" w:eastAsiaTheme="minorEastAsia" w:cstheme="minorEastAsia"/>
          <w:sz w:val="24"/>
        </w:rPr>
        <w:t>项内容未包括的重大且应予函证的其他事项，可能需要在第</w:t>
      </w:r>
      <w:r>
        <w:rPr>
          <w:rFonts w:asciiTheme="minorEastAsia" w:hAnsiTheme="minorEastAsia" w:eastAsiaTheme="minorEastAsia" w:cstheme="minorEastAsia"/>
          <w:sz w:val="24"/>
        </w:rPr>
        <w:t>14</w:t>
      </w:r>
      <w:r>
        <w:rPr>
          <w:rFonts w:hint="eastAsia" w:asciiTheme="minorEastAsia" w:hAnsiTheme="minorEastAsia" w:eastAsiaTheme="minorEastAsia" w:cstheme="minorEastAsia"/>
          <w:sz w:val="24"/>
        </w:rPr>
        <w:t>项“其他”中追加函证事项。如果确定在第</w:t>
      </w:r>
      <w:r>
        <w:rPr>
          <w:rFonts w:asciiTheme="minorEastAsia" w:hAnsiTheme="minorEastAsia" w:eastAsiaTheme="minorEastAsia" w:cstheme="minorEastAsia"/>
          <w:sz w:val="24"/>
        </w:rPr>
        <w:t>14</w:t>
      </w:r>
      <w:r>
        <w:rPr>
          <w:rFonts w:hint="eastAsia" w:asciiTheme="minorEastAsia" w:hAnsiTheme="minorEastAsia" w:eastAsiaTheme="minorEastAsia" w:cstheme="minorEastAsia"/>
          <w:sz w:val="24"/>
        </w:rPr>
        <w:t>项“其他”中追加函证事项，应与被审计单位沟通，请其协助并提前与银行工作人员做好沟通。</w:t>
      </w:r>
    </w:p>
    <w:p w14:paraId="6FAEDE6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color w:val="auto"/>
          <w:sz w:val="24"/>
        </w:rPr>
        <w:t>5.</w:t>
      </w:r>
      <w:r>
        <w:rPr>
          <w:rFonts w:hint="eastAsia" w:asciiTheme="minorEastAsia" w:hAnsiTheme="minorEastAsia" w:eastAsiaTheme="minorEastAsia" w:cstheme="minorEastAsia"/>
          <w:sz w:val="24"/>
        </w:rPr>
        <w:t>根据《银行函证工作操作指引》（财办会〔</w:t>
      </w:r>
      <w:r>
        <w:rPr>
          <w:rFonts w:asciiTheme="minorEastAsia" w:hAnsiTheme="minorEastAsia" w:eastAsiaTheme="minorEastAsia" w:cstheme="minorEastAsia"/>
          <w:sz w:val="24"/>
        </w:rPr>
        <w:t>2024〕2号）的要求，银行业金融机构可校验的签章包括但不限于被审计单位在银行开户时的预留签章或被审计单位与银行约定在办理函证业务时需要加盖的签章（包括具体签章组合）。注册会计师需要明确受理银行询证函所需的被审计单位授权预留签章或电子授权要求，避免银行询证函发出后被银行退回。</w:t>
      </w:r>
    </w:p>
    <w:p w14:paraId="69A3B17B">
      <w:pPr>
        <w:snapToGrid w:val="0"/>
        <w:spacing w:line="360" w:lineRule="auto"/>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（五）企业询证函的特殊考虑</w:t>
      </w:r>
    </w:p>
    <w:p w14:paraId="6BA5D68E">
      <w:pPr>
        <w:snapToGrid w:val="0"/>
        <w:spacing w:line="360" w:lineRule="auto"/>
        <w:ind w:firstLine="480" w:firstLineChars="200"/>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rPr>
        <w:t>函证可能同时涉及项目发生额和余额。</w:t>
      </w:r>
    </w:p>
    <w:p w14:paraId="0350C9ED">
      <w:pPr>
        <w:snapToGrid w:val="0"/>
        <w:spacing w:line="360" w:lineRule="auto"/>
        <w:ind w:firstLine="480" w:firstLineChars="200"/>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rPr>
        <w:t>函证应注明仅是核对款项，并不是对款项的结算或催收。</w:t>
      </w:r>
    </w:p>
    <w:p w14:paraId="3EB276BA">
      <w:pPr>
        <w:snapToGrid w:val="0"/>
        <w:spacing w:line="360" w:lineRule="auto"/>
        <w:ind w:firstLine="480" w:firstLineChars="200"/>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rPr>
        <w:t>涉及对境外客户函证时，可能需要备注所在国文字。</w:t>
      </w:r>
    </w:p>
    <w:p w14:paraId="3818186A">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四、常见的错误或风险</w:t>
      </w:r>
    </w:p>
    <w:p w14:paraId="6A6F5C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（一）函证信息不完整，如遗漏定期存款余额的函证、未将货币资金质押担保等受限情况作为函证内容等，错失和遗漏重要财产受限信息及相关重要交易往来。</w:t>
      </w:r>
    </w:p>
    <w:p w14:paraId="7D8732F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（二）仅对银行账户余额和借款实施函证，未对票据、理财产品、对外担保、资金池账户等与银行往来的其他重要信息实施函证。</w:t>
      </w:r>
    </w:p>
    <w:p w14:paraId="41DDEA6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（三）未关注资金池业务，应函证资金池账户的具体信息，并在银行询证函中详细列示，以揭示潜在的舞弊风险。</w:t>
      </w:r>
    </w:p>
    <w:p w14:paraId="57EFF57F">
      <w:pPr>
        <w:tabs>
          <w:tab w:val="left" w:pos="5652"/>
        </w:tabs>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五、编制询证函工作底稿</w:t>
      </w:r>
      <w:r>
        <w:rPr>
          <w:rFonts w:asciiTheme="minorEastAsia" w:hAnsiTheme="minorEastAsia" w:eastAsiaTheme="minorEastAsia" w:cstheme="minorEastAsia"/>
          <w:b/>
          <w:bCs/>
          <w:sz w:val="24"/>
        </w:rPr>
        <w:tab/>
      </w:r>
      <w:r>
        <w:rPr>
          <w:rFonts w:asciiTheme="minorEastAsia" w:hAnsiTheme="minorEastAsia" w:eastAsiaTheme="minorEastAsia" w:cstheme="minorEastAsia"/>
          <w:b/>
          <w:bCs/>
          <w:sz w:val="24"/>
        </w:rPr>
        <w:t xml:space="preserve">                                                                                                                                                                                                                                                                                                                                                                                                                                                                                                                                                                                                                                                                                                                                                                                                                                                                                                                                                                                                                                                    </w:t>
      </w:r>
    </w:p>
    <w:p w14:paraId="49B77372">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详细记录企业询证函的填写方式、询证函的编号和索引，以及在编制过程中采取的控制措施，确保函证过程的可追溯性和规范性。</w:t>
      </w:r>
    </w:p>
    <w:p w14:paraId="77D6372F">
      <w:pPr>
        <w:snapToGrid w:val="0"/>
        <w:spacing w:line="360" w:lineRule="auto"/>
        <w:ind w:firstLine="480" w:firstLineChars="200"/>
        <w:rPr>
          <w:rFonts w:asciiTheme="minorEastAsia" w:hAnsiTheme="minorEastAsia" w:eastAsiaTheme="minorEastAsia" w:cstheme="minorEastAsia"/>
          <w:sz w:val="24"/>
        </w:rPr>
      </w:pPr>
    </w:p>
    <w:p w14:paraId="1E9761B6">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59" w:name="_Toc11521"/>
      <w:bookmarkStart w:id="60" w:name="_Toc20596"/>
      <w:bookmarkStart w:id="61" w:name="_Toc29768"/>
      <w:r>
        <w:rPr>
          <w:rFonts w:hint="eastAsia" w:asciiTheme="minorEastAsia" w:hAnsiTheme="minorEastAsia" w:eastAsiaTheme="minorEastAsia" w:cstheme="minorEastAsia"/>
          <w:b/>
          <w:bCs/>
          <w:sz w:val="24"/>
        </w:rPr>
        <w:t>第六节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打印询证函并盖章</w:t>
      </w:r>
      <w:bookmarkEnd w:id="59"/>
      <w:bookmarkEnd w:id="60"/>
      <w:bookmarkEnd w:id="61"/>
    </w:p>
    <w:p w14:paraId="4A411522">
      <w:pPr>
        <w:snapToGrid w:val="0"/>
        <w:spacing w:line="360" w:lineRule="auto"/>
        <w:ind w:firstLine="482" w:firstLineChars="200"/>
        <w:outlineLvl w:val="2"/>
        <w:rPr>
          <w:rFonts w:asciiTheme="minorEastAsia" w:hAnsiTheme="minorEastAsia" w:cstheme="minorEastAsia"/>
          <w:b/>
          <w:bCs/>
          <w:sz w:val="24"/>
        </w:rPr>
      </w:pPr>
    </w:p>
    <w:p w14:paraId="004E3E66">
      <w:pPr>
        <w:snapToGrid w:val="0"/>
        <w:spacing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一、打印与核对</w:t>
      </w:r>
    </w:p>
    <w:p w14:paraId="5F916B2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（一）如果通过第三方函证电子平台寄发询证函，无需打印询证函并盖章。</w:t>
      </w:r>
    </w:p>
    <w:p w14:paraId="6E81BBC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在打印前，注册会计师应对询证函上的各项信息进行核对，包括被询证单位的姓名、地址、联系方式以及需要被询证单位确认的信息是否与被审计单位账簿及其他文件中的有关记录保持一致等，确保函证信息的完整性和准确性。对于银行存款的函证，需要银行确认的信息是否与银行对账单或其他相关文件中的信息保持一致。</w:t>
      </w:r>
    </w:p>
    <w:p w14:paraId="3B55DA2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（三）打印询证函。注册会计师应当对打印过程保持控制，以防打印稿被中途替换。</w:t>
      </w:r>
    </w:p>
    <w:p w14:paraId="2AAE4F74">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二、盖章与跟进</w:t>
      </w:r>
    </w:p>
    <w:p w14:paraId="0EF97A8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（一）将询证函交给被审计单位盖章前，询证函上的详细内容应与被审计单位进行二次核对并确认。</w:t>
      </w:r>
    </w:p>
    <w:p w14:paraId="34F8172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（二）将询证函交给被审计单位确认和盖章，注册会计师应当跟进询证函的盖章过程，防止盖章过程中询证函被中途替换。</w:t>
      </w:r>
    </w:p>
    <w:p w14:paraId="5EC8A4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（三）当询证函为多页时，应提请被审计单位加盖骑缝章。</w:t>
      </w:r>
    </w:p>
    <w:p w14:paraId="079ABAC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（四）被审计单位盖章后，注册会计师应当再次核对询证函上的各项信息，检查函证信息是否被篡改。同时，检查盖章是否清晰、完整，盖章位置是否正确。</w:t>
      </w:r>
    </w:p>
    <w:p w14:paraId="0924613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（五）企业询证函是以被审计单位的角度向被询证单位询证，因此应加盖被审计单位公章，一般情况下不应以公司财务章代替。</w:t>
      </w:r>
    </w:p>
    <w:p w14:paraId="0B458EB7">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三、常见错误或风险</w:t>
      </w:r>
    </w:p>
    <w:p w14:paraId="0ACBB72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（一）</w:t>
      </w:r>
      <w:r>
        <w:rPr>
          <w:rFonts w:asciiTheme="minorEastAsia" w:hAnsiTheme="minorEastAsia" w:eastAsiaTheme="minorEastAsia" w:cstheme="minorEastAsia"/>
          <w:sz w:val="24"/>
        </w:rPr>
        <w:t>从被审计单位处收回已盖章的询证函时，应再次核对询证函上的各项信息，关注询证函是否被企业截留并替换了其中几张关键信息。</w:t>
      </w:r>
    </w:p>
    <w:p w14:paraId="24A5623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（二）</w:t>
      </w:r>
      <w:r>
        <w:rPr>
          <w:rFonts w:hint="eastAsia" w:asciiTheme="minorEastAsia" w:hAnsiTheme="minorEastAsia" w:eastAsiaTheme="minorEastAsia" w:cstheme="minorEastAsia"/>
          <w:sz w:val="24"/>
        </w:rPr>
        <w:t>为防范询证函被替换和篡改的风险，在被审计单位盖章后，注册会计师可以在询证函上添加不易复制的特定标识，例如，可以使用带有水印或防伪标记的纸张进行打印、现场负责人签名、加盖函证专用章、利用软件生成函证二维码或条形码等。</w:t>
      </w:r>
    </w:p>
    <w:p w14:paraId="1A4E7333">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四、控制打印签章询证函工作底稿</w:t>
      </w:r>
    </w:p>
    <w:p w14:paraId="03D175CB">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记录打印询证函和盖章过程中采取的控制措施，例如：打印时间、核对情况、盖章过程、盖章后的核对结果以及任何异常情况的处理等。确保工作底稿的完整性和可追溯性，以便在必要时能够迅速查找和验证相关信息。</w:t>
      </w:r>
    </w:p>
    <w:p w14:paraId="0AFAB146">
      <w:pPr>
        <w:snapToGrid w:val="0"/>
        <w:spacing w:line="360" w:lineRule="auto"/>
        <w:ind w:firstLine="480" w:firstLineChars="200"/>
        <w:rPr>
          <w:rFonts w:asciiTheme="minorEastAsia" w:hAnsiTheme="minorEastAsia" w:eastAsiaTheme="minorEastAsia" w:cstheme="minorEastAsia"/>
          <w:sz w:val="24"/>
        </w:rPr>
      </w:pPr>
    </w:p>
    <w:p w14:paraId="60D7FB87">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62" w:name="_Toc31321"/>
      <w:bookmarkStart w:id="63" w:name="_Toc22358"/>
      <w:bookmarkStart w:id="64" w:name="_Toc12061"/>
      <w:r>
        <w:rPr>
          <w:rFonts w:hint="eastAsia" w:asciiTheme="minorEastAsia" w:hAnsiTheme="minorEastAsia" w:eastAsiaTheme="minorEastAsia" w:cstheme="minorEastAsia"/>
          <w:b/>
          <w:bCs/>
          <w:sz w:val="24"/>
        </w:rPr>
        <w:t>第七节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发出询证函</w:t>
      </w:r>
      <w:bookmarkEnd w:id="62"/>
      <w:bookmarkEnd w:id="63"/>
      <w:bookmarkEnd w:id="64"/>
    </w:p>
    <w:p w14:paraId="12669419">
      <w:pPr>
        <w:snapToGrid w:val="0"/>
        <w:spacing w:line="360" w:lineRule="auto"/>
        <w:ind w:firstLine="482" w:firstLineChars="200"/>
        <w:outlineLvl w:val="2"/>
        <w:rPr>
          <w:rFonts w:asciiTheme="minorEastAsia" w:hAnsiTheme="minorEastAsia" w:cstheme="minorEastAsia"/>
          <w:b/>
          <w:bCs/>
          <w:sz w:val="24"/>
        </w:rPr>
      </w:pPr>
    </w:p>
    <w:p w14:paraId="2FD1E3B6">
      <w:pPr>
        <w:snapToGrid w:val="0"/>
        <w:spacing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一、发函前的准备工作</w:t>
      </w:r>
    </w:p>
    <w:p w14:paraId="06EA812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实施询证函程序是为了获取有价值的第三方信息，以保证审计目标的达成。为了减少函证过程中的意外情况，注册会计师应在发函前做好以下准备工作。</w:t>
      </w:r>
    </w:p>
    <w:p w14:paraId="336E1B7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（一）资料收集</w:t>
      </w:r>
    </w:p>
    <w:p w14:paraId="0E2F1CD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注册会计师应全面收集与审计项目相关的资料，进行访谈调查，深入了解被询证单位的情况。在此基础上，详细填写询证事项，确保询证事项的完整性和准确性。</w:t>
      </w:r>
    </w:p>
    <w:p w14:paraId="07391034">
      <w:pPr>
        <w:snapToGrid w:val="0"/>
        <w:spacing w:line="360" w:lineRule="auto"/>
        <w:ind w:left="420" w:left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（二）沟通与协调</w:t>
      </w:r>
    </w:p>
    <w:p w14:paraId="7AE9630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w:t>
      </w:r>
      <w:r>
        <w:rPr>
          <w:rFonts w:hint="eastAsia" w:asciiTheme="minorEastAsia" w:hAnsiTheme="minorEastAsia" w:eastAsiaTheme="minorEastAsia" w:cstheme="minorEastAsia"/>
          <w:color w:val="auto"/>
          <w:sz w:val="24"/>
        </w:rPr>
        <w:t>依据不同情形，</w:t>
      </w:r>
      <w:r>
        <w:rPr>
          <w:rFonts w:hint="eastAsia" w:asciiTheme="minorEastAsia" w:hAnsiTheme="minorEastAsia" w:eastAsiaTheme="minorEastAsia" w:cstheme="minorEastAsia"/>
          <w:sz w:val="24"/>
        </w:rPr>
        <w:t>可提前与被询证单位进行电话或其他形式的沟通，明确函证目的与要求，促进双方的理解与配合。</w:t>
      </w:r>
    </w:p>
    <w:p w14:paraId="5BC309C5">
      <w:pPr>
        <w:snapToGrid w:val="0"/>
        <w:spacing w:line="360" w:lineRule="auto"/>
        <w:ind w:left="420" w:left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（三）询证函复核</w:t>
      </w:r>
    </w:p>
    <w:p w14:paraId="1CD76F6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发出询证函前，务必对关键项目的询证函进行仔细复核，确保函证内容无误。</w:t>
      </w:r>
    </w:p>
    <w:p w14:paraId="6D45EB59">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二、确定发函方式</w:t>
      </w:r>
    </w:p>
    <w:p w14:paraId="0A6CCC2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发出方式，包括跟函、邮寄（包括普通快递、邮政快递或挂号信等）、电子询证函平台、其他电子形式（如微信、传真、电子邮件、直接访问网站等）。确定发函方式前，注册会计师需要与被审计单位充分沟通，了解被询证单位工作流程、接待方式、对询证的态度以及可接受函证的具体方式和渠道，并根据对舞弊风险的判断、被询证者的地址和性质、以往回函情况、回函截止日期等因素，确定询证函的发函方式。</w:t>
      </w:r>
    </w:p>
    <w:p w14:paraId="3541F63E">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（一）邮寄方式</w:t>
      </w:r>
    </w:p>
    <w:p w14:paraId="74E11EC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邮寄函证，即通过物流公司向被询证单位递送询证函的方式，邮寄函证方式已经成为实务中常见的函证方式。</w:t>
      </w:r>
    </w:p>
    <w:p w14:paraId="7201F61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（二）跟函方式</w:t>
      </w:r>
    </w:p>
    <w:p w14:paraId="0B80A6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跟函，即注册会计师在企业人员的陪同下前往被询证单位递送询证函，并在被询证单位工作人员现场核对函证事项并确认回函后，亲自将回函带回的方式。如果注册会计师认为跟函的方式能够获取可靠信息，可以采取该方式发送并收回询证函。跟函方式除快速获取被询证单位的回函确认外，还能通过观察被询证单位经营场所与函证程序执行操作指引从被审计单位处获取的信息进行佐证。</w:t>
      </w:r>
    </w:p>
    <w:p w14:paraId="5033104C">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1.在某些情况下，被询证单位工作人员可能不会现场确认函证事项并直接将回函面交给注册会计师，而是采用邮寄方式进行回函。</w:t>
      </w:r>
    </w:p>
    <w:p w14:paraId="04148B01">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2.基于时间及成本效率方面的考虑，亲往函证可能并不适用所有项目。通常情况下，注册会计师可以考虑对同城函证采用亲往函证方式，必要时重大项目也可以考虑异地亲往函证方式。</w:t>
      </w:r>
    </w:p>
    <w:p w14:paraId="20A66F8E">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针对舞弊风险迹象，注册会计师根据具体情况可以要求与被询证单位相关人员直接沟通并讨论询证事项，考虑是否有必要前往被询证单位工作地点以验证其是否存在，并进一步了解相关回函信息的真实性和准确性。</w:t>
      </w:r>
    </w:p>
    <w:p w14:paraId="381C3064">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（三）电子询证函平台</w:t>
      </w:r>
    </w:p>
    <w:p w14:paraId="71485B4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前实务中，电子询证函平台主要包括两类：一类被询证单位（例如商业银行等金融机构）自身的电子询证函平台，另一类是专门提供询证函平台服务的第三方平台（例如银行函证区块链服务平台）。这两类平台的性质不同，前者是被询证单位自主负责的平台，后者则是为注册会计师、被审计单位和被询证单位提供网上平台服务的专业服务机构。两者相关的系统设置和函证流程也有明显区别，对于其安全可靠性的评价要求也有所区别。</w:t>
      </w:r>
    </w:p>
    <w:p w14:paraId="7A10AC7E">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1.被询证单位自身的电子询证函平台</w:t>
      </w:r>
    </w:p>
    <w:p w14:paraId="403D9A4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商业银行等金融机构负责按照相关法律法规建立和完善有关回函的内部控制，并依法对其出具的回函承担相应的法律责任。一般而言，除非出现相反情况，注册会计师无需对商业银行等金融机构自身的电子询证函平台内部处理过程的安全可靠性进行专门评价。</w:t>
      </w:r>
    </w:p>
    <w:p w14:paraId="65DEDE2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对于商业银行等金融机构自身的电子询证函平台回函信息传输到注册会计师的过程，注册会计师可能需要考虑对接安排是否安全可靠。例如，如果金融机构自身的电子询证函平台直接与会计师事务所的</w:t>
      </w:r>
      <w:r>
        <w:rPr>
          <w:rFonts w:asciiTheme="minorEastAsia" w:hAnsiTheme="minorEastAsia" w:eastAsiaTheme="minorEastAsia" w:cstheme="minorEastAsia"/>
          <w:sz w:val="24"/>
        </w:rPr>
        <w:t>IT端口对接，则回函信息不存</w:t>
      </w:r>
      <w:r>
        <w:rPr>
          <w:rFonts w:hint="eastAsia" w:asciiTheme="minorEastAsia" w:hAnsiTheme="minorEastAsia" w:eastAsiaTheme="minorEastAsia" w:cstheme="minorEastAsia"/>
          <w:sz w:val="24"/>
        </w:rPr>
        <w:t>在暴露于公共网络而受到拦截篡改的风险；但如果回函信息是利用公共网络发送或传输给注册会计师的，则注册会计师可能还需考虑传输过程的安全性风险。</w:t>
      </w:r>
    </w:p>
    <w:p w14:paraId="2F834D06">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2.第三方电子询证函平台</w:t>
      </w:r>
    </w:p>
    <w:p w14:paraId="67CEB89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第三方电子询证函平台的独立性风险和安全性风险可能导致电子询证函回函不可靠。</w:t>
      </w:r>
    </w:p>
    <w:p w14:paraId="4434CC3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（1）</w:t>
      </w:r>
      <w:r>
        <w:rPr>
          <w:rFonts w:asciiTheme="minorEastAsia" w:hAnsiTheme="minorEastAsia" w:eastAsiaTheme="minorEastAsia" w:cstheme="minorEastAsia"/>
          <w:sz w:val="24"/>
        </w:rPr>
        <w:t>第三方电子询证函平台独立性风险，即电子询证函平台在形式上或实质上没有独立于被审计单位的风险。</w:t>
      </w:r>
    </w:p>
    <w:p w14:paraId="071A018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（2）</w:t>
      </w:r>
      <w:r>
        <w:rPr>
          <w:rFonts w:asciiTheme="minorEastAsia" w:hAnsiTheme="minorEastAsia" w:eastAsiaTheme="minorEastAsia" w:cstheme="minorEastAsia"/>
          <w:sz w:val="24"/>
        </w:rPr>
        <w:t>第三方电子询证函平台安全性风险。主要包括：</w:t>
      </w:r>
    </w:p>
    <w:p w14:paraId="6322C75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①</w:t>
      </w:r>
      <w:r>
        <w:rPr>
          <w:rFonts w:asciiTheme="minorEastAsia" w:hAnsiTheme="minorEastAsia" w:eastAsiaTheme="minorEastAsia" w:cstheme="minorEastAsia"/>
          <w:sz w:val="24"/>
        </w:rPr>
        <w:t>函证相关方的身份真实性风险。</w:t>
      </w:r>
    </w:p>
    <w:p w14:paraId="00E2031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②</w:t>
      </w:r>
      <w:r>
        <w:rPr>
          <w:rFonts w:asciiTheme="minorEastAsia" w:hAnsiTheme="minorEastAsia" w:eastAsiaTheme="minorEastAsia" w:cstheme="minorEastAsia"/>
          <w:sz w:val="24"/>
        </w:rPr>
        <w:t>第三方电子询证函平台的操作风险，如操作电子函证核心业务（如回函）的人员未经适当的授权。</w:t>
      </w:r>
    </w:p>
    <w:p w14:paraId="64669F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③</w:t>
      </w:r>
      <w:r>
        <w:rPr>
          <w:rFonts w:asciiTheme="minorEastAsia" w:hAnsiTheme="minorEastAsia" w:eastAsiaTheme="minorEastAsia" w:cstheme="minorEastAsia"/>
          <w:sz w:val="24"/>
        </w:rPr>
        <w:t>第三方电子询证函平台信息传输安全性风险，如发函和回函信息可能被拦截、修改、删除和泄露等。</w:t>
      </w:r>
    </w:p>
    <w:p w14:paraId="62803E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④</w:t>
      </w:r>
      <w:r>
        <w:rPr>
          <w:rFonts w:asciiTheme="minorEastAsia" w:hAnsiTheme="minorEastAsia" w:eastAsiaTheme="minorEastAsia" w:cstheme="minorEastAsia"/>
          <w:sz w:val="24"/>
        </w:rPr>
        <w:t>第三方电子询证函平台记录函证控制过程的完整性风险。</w:t>
      </w:r>
    </w:p>
    <w:p w14:paraId="2628285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在评估第三方电子询证函平台的安全可靠性时，通常在会计师事务所层面实施，而无需由单个审计项目组来实施。需要考虑实施的评估程序包括但不限于：</w:t>
      </w:r>
    </w:p>
    <w:p w14:paraId="4C40D2D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①</w:t>
      </w:r>
      <w:r>
        <w:rPr>
          <w:rFonts w:asciiTheme="minorEastAsia" w:hAnsiTheme="minorEastAsia" w:eastAsiaTheme="minorEastAsia" w:cstheme="minorEastAsia"/>
          <w:sz w:val="24"/>
        </w:rPr>
        <w:t>评估第三方电子询证函平台聘请的信息安全认证机构或专业人员的胜任能力、专业素质和独立性，并记录相关评估过程、取得的证据和得出的结论。</w:t>
      </w:r>
    </w:p>
    <w:p w14:paraId="7983919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②</w:t>
      </w:r>
      <w:r>
        <w:rPr>
          <w:rFonts w:asciiTheme="minorEastAsia" w:hAnsiTheme="minorEastAsia" w:eastAsiaTheme="minorEastAsia" w:cstheme="minorEastAsia"/>
          <w:sz w:val="24"/>
        </w:rPr>
        <w:t>取得第三方电子询证函平台聘请的信息安全认证机构颁发的信息系统安全测评证书或专业人员出具的鉴证报告等由电子询证函平台定期公开发布的信息，了解第三方电子询证函平台及其所有者和运营商的组织架构、是否存在被监管机构处罚、是否存在涉诉信息等与电子询证函平台的独立性、安全可靠性等方面相关的信息，评估通过第三方电子询证函平台收发电子询证函是否可靠。同时，记录其依据信息安全认证机构颁发的信息系统安全测评证书或专业人员出具的鉴证报告来合理评估第三方电子询证函平台可靠性的过程、获取的证据及得出的结论。</w:t>
      </w:r>
    </w:p>
    <w:p w14:paraId="79D168D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③</w:t>
      </w:r>
      <w:r>
        <w:rPr>
          <w:rFonts w:asciiTheme="minorEastAsia" w:hAnsiTheme="minorEastAsia" w:eastAsiaTheme="minorEastAsia" w:cstheme="minorEastAsia"/>
          <w:sz w:val="24"/>
        </w:rPr>
        <w:t>了解第三方电子询证函平台聘请的信息安全认证机构或专业人员测试的范围、实施的程序、程序涵盖的期间以及自实施程序以来的时间间隔，评估信息安全认证机构或专业人员的工作是否支持通过第三方电子询证函平台实施函</w:t>
      </w:r>
      <w:r>
        <w:rPr>
          <w:rFonts w:hint="eastAsia" w:asciiTheme="minorEastAsia" w:hAnsiTheme="minorEastAsia" w:eastAsiaTheme="minorEastAsia" w:cstheme="minorEastAsia"/>
          <w:sz w:val="24"/>
        </w:rPr>
        <w:t>证程序的可靠性。</w:t>
      </w:r>
    </w:p>
    <w:p w14:paraId="49D95285">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（四）其他电子形式</w:t>
      </w:r>
    </w:p>
    <w:p w14:paraId="1323158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于时间因素的考虑，注册会计师可能选择以传真或通过电子邮件等电子形式向被询证单位发送询证函。由于电子形式函证方式存在被拦截、更改或者其他舞弊风险的程度远远高于其他函证方式，且被询证单位的身份及其授权情况很难确定，因此除非同时满足以下条件，否则不建议采用此函证方式：</w:t>
      </w:r>
    </w:p>
    <w:p w14:paraId="2CB6DC29">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1.被询证单位的身份能核实，且没有迹象表明被询证单位或人员不认真对待函证；</w:t>
      </w:r>
    </w:p>
    <w:p w14:paraId="3F524E26">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2.被询证单位同意将收到的电子形式询证函打印（或脱敏）为纸质文档后，以快递方式向注册会计师寄回纸质形式复函；</w:t>
      </w:r>
    </w:p>
    <w:p w14:paraId="56F1B5F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3.在出具审计报告前必须取得以快递函证方式收到的纸质形式回函。如在出具审计报告前尚未收到纸质形式回函，按未收到回函的情况实施替代程序以获取相关、可靠的审计证据。</w:t>
      </w:r>
    </w:p>
    <w:p w14:paraId="79F5236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在核实被询证单位身份及其授权情况时，注册会计师应执行以下程序：</w:t>
      </w:r>
    </w:p>
    <w:p w14:paraId="229DA0A0">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1.采用传真方式向被审计单位发送询证函，应当核实被函证单位名称、传真号码是否正确（可以执行的程序参见本操作指引“核对被询证单位信息”章节）。</w:t>
      </w:r>
    </w:p>
    <w:p w14:paraId="4C4ECA86">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采用通过电子邮件向被审计单位发送询证函，应当核实收件人的身份，其是否对被函证信息是否知情、是否具有客观性、是否拥有回函的授权等；收件人邮箱是否为与被审计单位日常联系的被询证单位的公司邮箱（例如：将收件人邮箱后缀与被询证单位的官方网站提供的电子邮箱后缀进行核对；与被审计单位持有的被询证单位名片、往来邮件、相关合同等文件核对等）。必要时，注册会计师可以考虑在实施电子形式函证的同时以快递函证方式实施纸质形式函证，以降低询证函舞弊风险。</w:t>
      </w:r>
    </w:p>
    <w:p w14:paraId="18AC42C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（五）银行函证的特殊考虑</w:t>
      </w:r>
    </w:p>
    <w:p w14:paraId="4BC081A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直接访问被询证单位网站查询不属于函证。如果注册会计师通过被询证单位直接提供给注册会计师的信息（如网址、服务器地址、用户名、登录密码等）登录被询证单位官方或指定网站（或服务器等）以查询被审计单位相关信息，且被询证单位通过书面形式确认其知晓下列事项时，通过该方式获取的审计证据与实施函证程序获得的证据效力基本等同：</w:t>
      </w:r>
    </w:p>
    <w:p w14:paraId="64FB9EAB">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1.注册会计师的信息需求和所需信息的潜在用途；</w:t>
      </w:r>
    </w:p>
    <w:p w14:paraId="3FBECFE5">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2.注册会计师所查询的相关文件含有其所需信息。</w:t>
      </w:r>
    </w:p>
    <w:p w14:paraId="3D48AF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被审计单位将其在被询证单位（如银行、证券公司、其他非银行金融机构及其他机构等）的网址、服务器地址、账户名或用户名、登录密码等信息提供给注册会计师，由注册会计师直接登录被询证单位官方或指定网站（或服务器等）以查询被审计单位相关信息，该方式不符合函证的定义，而属于检查程序。通过该方式获取的信息可作为一种审计证据，但在评估其可靠性时可能需要考虑额外的风险（例如所登录的网页并非被询证单位真实网页、用户名和登录密码并非被审计单位真实的用户名和登录密码、网页所查询的信息并不及时准确、被询证单位不知道注册会计师的查询目的等）。通过该程序所获取的审计证据是否充分、适当，应当基于审计准则的规定、所涉及项目本身的重要性以及注册会计师针对相关认定评估的重大错报风险进行判断。</w:t>
      </w:r>
    </w:p>
    <w:p w14:paraId="33A2DED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注意的是，由于直接访问被询证单位网站的方式所能查询的信息本身可能不完整，除了评估通过直接访问被询证单位网站的方式所获取信息的可靠性外，注册会计师还需要评估通过直接访问被询证单位网站的方式所获取信息的完整性，并考虑实施其他审计程序以获取被询证项目充分、适当的审计证据。</w:t>
      </w:r>
    </w:p>
    <w:p w14:paraId="08F3ED5D">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三、发函时间的选择</w:t>
      </w:r>
    </w:p>
    <w:p w14:paraId="558290E6">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（一）资产负债表日后实施函证。</w:t>
      </w:r>
      <w:r>
        <w:rPr>
          <w:rFonts w:hint="eastAsia" w:asciiTheme="minorEastAsia" w:hAnsiTheme="minorEastAsia" w:eastAsiaTheme="minorEastAsia" w:cstheme="minorEastAsia"/>
          <w:sz w:val="24"/>
        </w:rPr>
        <w:t>通常情况下，函证以资产负债表日为截止日，在资产负债表日后适当时间内进行，此举旨在确保函证信息与财务报表数据的一致性。</w:t>
      </w:r>
    </w:p>
    <w:p w14:paraId="0C5FB870">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（二）资产负债表日前实施函证。</w:t>
      </w:r>
      <w:r>
        <w:rPr>
          <w:rFonts w:hint="eastAsia" w:asciiTheme="minorEastAsia" w:hAnsiTheme="minorEastAsia" w:eastAsiaTheme="minorEastAsia" w:cstheme="minorEastAsia"/>
          <w:sz w:val="24"/>
        </w:rPr>
        <w:t>若被审计单位重大错报风险评估为低水平或实施预审时，注册会计师可以选择在资产负债表日前的适当日期为截止日实施函证。在这种情况下，需要对自该截止日起至资产负债表日止发生的变动实施实质性程序，或将实质性程序和控制测试结合使用，以合理延伸期中测试得出的结论至期末。</w:t>
      </w:r>
    </w:p>
    <w:p w14:paraId="5648E4BD">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（三）考虑回函时间。</w:t>
      </w:r>
      <w:r>
        <w:rPr>
          <w:rFonts w:hint="eastAsia" w:asciiTheme="minorEastAsia" w:hAnsiTheme="minorEastAsia" w:eastAsiaTheme="minorEastAsia" w:cstheme="minorEastAsia"/>
          <w:sz w:val="24"/>
        </w:rPr>
        <w:t>审计报告日不得早于重要函证取得回函的日期，以确保审计证据的充分性和适当性。为了确保在审计工作结束前能够取得回函，从而有足够的时间对回函进行分析和处理，注册会计师应及时安排函证程序的实施工作，避免因回函时间不足仓促发出询证函，影响程序的效率和效果。若审计报告日后获取回函，应将其纳入审计底稿，并注明已执行替代程序的情况及差异事项对报告的影响。</w:t>
      </w:r>
    </w:p>
    <w:p w14:paraId="207D93A7">
      <w:pPr>
        <w:snapToGrid w:val="0"/>
        <w:spacing w:line="360" w:lineRule="auto"/>
        <w:ind w:firstLine="482" w:firstLineChars="200"/>
        <w:rPr>
          <w:rFonts w:asciiTheme="minorEastAsia" w:hAnsiTheme="minorEastAsia" w:cstheme="minorEastAsia"/>
          <w:sz w:val="24"/>
        </w:rPr>
      </w:pPr>
      <w:r>
        <w:rPr>
          <w:rFonts w:hint="eastAsia" w:asciiTheme="minorEastAsia" w:hAnsiTheme="minorEastAsia" w:eastAsiaTheme="minorEastAsia" w:cstheme="minorEastAsia"/>
          <w:b/>
          <w:bCs/>
          <w:sz w:val="24"/>
        </w:rPr>
        <w:t>（四）针对舞弊风险迹象的函证。</w:t>
      </w:r>
      <w:r>
        <w:rPr>
          <w:rFonts w:hint="eastAsia" w:asciiTheme="minorEastAsia" w:hAnsiTheme="minorEastAsia" w:eastAsiaTheme="minorEastAsia" w:cstheme="minorEastAsia"/>
          <w:sz w:val="24"/>
        </w:rPr>
        <w:t>针对舞弊风险迹象，注册会计师可以根据具体情况考虑分别在期中和期末寄发询证函，并使用被审计单位账面记录和其他相关信息核对相关账户的期间变动。</w:t>
      </w:r>
    </w:p>
    <w:p w14:paraId="5C2B8E46">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四、发函控制</w:t>
      </w:r>
    </w:p>
    <w:p w14:paraId="572685B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论采用哪种发函方式，为避免询证函被拦截、篡改等舞弊风险，注册会计师需要在整个函证过程中保持对询证函的发出控制，并保持发函独立性，同时对被审计单位和被询证单位之间串通舞弊的风险保持警觉。为了证明注册会计师对发出询证函实施了控制，需要有详细的记录和证据支持。注册会计师应在工作底稿中保留函证实施过程的痕迹证据及文字记录以备查。</w:t>
      </w:r>
    </w:p>
    <w:p w14:paraId="4C8948ED">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（一）基本控制程序</w:t>
      </w:r>
    </w:p>
    <w:p w14:paraId="1F21D13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组独立发出询证函，对整个函证过程保持有效控制，坚决杜绝由被审计单位人员代为发函，避免询证函被拦截、篡改等舞弊风险，并将反映函证过程控制的相关工作记录和外部证据完整地记录于审计工作底稿。</w:t>
      </w:r>
    </w:p>
    <w:p w14:paraId="41D411A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（二）银行询证函的发函控制</w:t>
      </w:r>
    </w:p>
    <w:p w14:paraId="561BDF5F">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1.邮寄方式的发函控制</w:t>
      </w:r>
    </w:p>
    <w:p w14:paraId="1E95DB7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如果采用邮寄方式发送询证函，注册会计师需要警惕被审计单位通过邮寄人员拦截询证函的风险。注册会计师可以考虑实施以下程序：</w:t>
      </w:r>
    </w:p>
    <w:p w14:paraId="7A29970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获取并核实被询证银行的地址、处理函证部门、联系人姓名和联系方式等信息，确认联系人的身份是否适当。例如，注册会计师可以通过查询被询证银行官网或其他公开渠道，了解受理邮寄函证的地址、联系人姓名和联系方式。</w:t>
      </w:r>
    </w:p>
    <w:p w14:paraId="4D017E8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2）与被询证银行联系，告知其函证事项，独立寄出询证函。</w:t>
      </w:r>
    </w:p>
    <w:p w14:paraId="7B2F2C7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3）注册会计师在全程保持控制的情况下，自行寄发询证函。不使用被审计单位本身的邮寄设施，尽量不选择被审计单位指定的合作邮寄服务机构，保持</w:t>
      </w:r>
      <w:r>
        <w:rPr>
          <w:rFonts w:hint="eastAsia" w:asciiTheme="minorEastAsia" w:hAnsiTheme="minorEastAsia" w:eastAsiaTheme="minorEastAsia" w:cstheme="minorEastAsia"/>
          <w:sz w:val="24"/>
        </w:rPr>
        <w:t>发函独立性，保留交接记录（快递单</w:t>
      </w:r>
      <w:r>
        <w:rPr>
          <w:rFonts w:asciiTheme="minorEastAsia" w:hAnsiTheme="minorEastAsia" w:eastAsiaTheme="minorEastAsia" w:cstheme="minorEastAsia"/>
          <w:sz w:val="24"/>
        </w:rPr>
        <w:t>/运单、邮局出具的挂号信收条或邮政快递公司出具的相关收取邮件的证明等）和快递流转签收截图等作为发函控制的审计工作底稿。</w:t>
      </w:r>
    </w:p>
    <w:p w14:paraId="707EAF3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安排审计人员跟进询证函的签收情况，确认发函、回函的物流信息，并在底稿中予以记录。审计人员需要对异常事项保持应有的关注并予以核实，例如，询证函的签收日期明显有异于正常的物流速度、非函证联系人本人签收等。</w:t>
      </w:r>
    </w:p>
    <w:p w14:paraId="2767B2E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为确认收到的回函为发出的原件，所有询证函发送或寄出之前，注册会计师可采取企业盖章完毕的询证函编号、拍照或者扫描以留存影印件、考虑在银行询证函上添加不易复制的特定标识等措施作为发函的证据之一。</w:t>
      </w:r>
    </w:p>
    <w:p w14:paraId="79B6A58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6）当天未寄出的询证函应由审计人员保管或以同样有效的方式对询证函加以控制。</w:t>
      </w:r>
    </w:p>
    <w:p w14:paraId="0BA6DBE0">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2.跟函方式的发函控制</w:t>
      </w:r>
    </w:p>
    <w:p w14:paraId="16F0349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了解被询证银行的跟函地址、跟函流程以及跟函所需的资料。注册会计师可以通过查询被询证银行官网或其他公开渠道，获取有关被询证银行办公地址的信息。被询证银行可能要求注册会计师提供被审计单位介绍信、会计师事务所工作证等证明文件，注册会计师需要提前了解跟函所需资料，做好函证准备。</w:t>
      </w:r>
    </w:p>
    <w:p w14:paraId="5C98B3F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如果注册会计师</w:t>
      </w:r>
      <w:r>
        <w:rPr>
          <w:rFonts w:hint="eastAsia" w:asciiTheme="minorEastAsia" w:hAnsiTheme="minorEastAsia" w:eastAsiaTheme="minorEastAsia" w:cstheme="minorEastAsia"/>
          <w:color w:val="auto"/>
          <w:sz w:val="24"/>
        </w:rPr>
        <w:t>独自跟函，</w:t>
      </w:r>
      <w:r>
        <w:rPr>
          <w:rFonts w:hint="eastAsia" w:asciiTheme="minorEastAsia" w:hAnsiTheme="minorEastAsia" w:eastAsiaTheme="minorEastAsia" w:cstheme="minorEastAsia"/>
          <w:sz w:val="24"/>
        </w:rPr>
        <w:t>注册会计师可以提请被审计单位出具相关证明文件，并复印留存在底稿中。</w:t>
      </w:r>
    </w:p>
    <w:p w14:paraId="1EB9D147">
      <w:pPr>
        <w:numPr>
          <w:ilvl w:val="0"/>
          <w:numId w:val="5"/>
        </w:num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独自或在被审计单位员工的陪同下前往被询证银行执行函证程序。如果注册会计师跟函时需要被审计单位员工陪伴，注册会计师需要在整个过程中保持对询证函的控制。对被审计单位和被询证银行之间串通舞弊的风险保持警觉，例如被审计单位陪同人员与银行人员单独交流、银行人员因函证信息异常要求被审计单位陪同人员单独向其解释说明等。</w:t>
      </w:r>
    </w:p>
    <w:p w14:paraId="0EA9D12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注册会计师可以考虑采用非预约方式按照相应银行的通用受理流程在相应柜台现场办理。</w:t>
      </w:r>
    </w:p>
    <w:p w14:paraId="64FFB16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确认被询证银行处理询证函的流程是否符合规定。包括：确认处理询证函的场地是否为被询证银行的办公场所；确认处理询证函人员的身份和处理询证函的权限；观察处理询证函人员是否按照正常流程认真处理询证函，是否存在</w:t>
      </w:r>
      <w:r>
        <w:rPr>
          <w:rFonts w:hint="eastAsia" w:asciiTheme="minorEastAsia" w:hAnsiTheme="minorEastAsia" w:eastAsiaTheme="minorEastAsia" w:cstheme="minorEastAsia"/>
          <w:sz w:val="24"/>
        </w:rPr>
        <w:t>异常情形等。</w:t>
      </w:r>
    </w:p>
    <w:p w14:paraId="26839F7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确认回函的可靠性，对异常事项保持应有的关注并予以核实。如果现场取得询证函回函，注册会计师应当验证回函的可靠性。如果询证函回函原件需要被询证银行事后寄回，注册会计师应当要求被询证银行将回函直接寄回会计师事务所。同时，注册会计师需要警惕离开银行后被审计单位再单独与被函证银行沟通。</w:t>
      </w:r>
    </w:p>
    <w:p w14:paraId="7ECDEB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将跟函时间、陪同人员、跟函的现场照片或视频文件、索取的名片、观察员工卡或姓名牌的相关记录、异地跟函的出差票据证明等及跟函过程完整记录于工作底稿。如经允许，可与被询证单位处理函证的相关工作人员合影拍照留为证据。</w:t>
      </w:r>
    </w:p>
    <w:p w14:paraId="25A44BA1">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 xml:space="preserve">3.电子询证函平台的发函控制 </w:t>
      </w:r>
    </w:p>
    <w:p w14:paraId="24D6B30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1）评估电子询证函平台的安全可靠性。</w:t>
      </w:r>
    </w:p>
    <w:p w14:paraId="40BF8E1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2）按照各个电子询证函平台的流程（包括第三方函证平台和银行自建函证平台），发起函证申请。</w:t>
      </w:r>
    </w:p>
    <w:p w14:paraId="29BF2A3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3）获取被审计单位授权。</w:t>
      </w:r>
    </w:p>
    <w:p w14:paraId="6D51B2A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4）确认电子询证函是否已申请成功。</w:t>
      </w:r>
    </w:p>
    <w:p w14:paraId="23F216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5）记录函证过程信息，包括不限于：审计单位授权注册会计师发函的信息；审计单位、注册会计师和被询证单位在电子询证函平台操作的具体时间；在电子询证函平台在线提交函证的全过程实时截屏或录屏等。</w:t>
      </w:r>
    </w:p>
    <w:p w14:paraId="7AE1C141">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（三）企业询证函的发函控制</w:t>
      </w:r>
    </w:p>
    <w:p w14:paraId="3F248238">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1.邮寄方式的发函控制</w:t>
      </w:r>
    </w:p>
    <w:p w14:paraId="4529D76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获取并核实被询证单位的地址、联系人姓名和联系方式等信息。考虑联系人的身份是否适当，如果注册会计师对联系人的身份存有疑虑，应当考虑采用跟函方式。当被审计单位提供的邮寄地址与被询证单位的注册地址不一致时，注册会计师应获取管理层的解释，并核实管理层的解释是否合理。</w:t>
      </w:r>
    </w:p>
    <w:p w14:paraId="47C7DC0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2）与被询证单位联系，告知其函证事项，独立寄出询证函。</w:t>
      </w:r>
    </w:p>
    <w:p w14:paraId="3C0FAF8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3）注册会计师在全程保持控制的情况下，自行寄发询证函。不使用被审</w:t>
      </w:r>
      <w:r>
        <w:rPr>
          <w:rFonts w:hint="eastAsia" w:asciiTheme="minorEastAsia" w:hAnsiTheme="minorEastAsia" w:eastAsiaTheme="minorEastAsia" w:cstheme="minorEastAsia"/>
          <w:sz w:val="24"/>
        </w:rPr>
        <w:t>计单位本身的邮寄设施，尽量不选择被审计单位指定的合作邮寄服务机构，保持发函独立性，保留交接记录（快递单</w:t>
      </w:r>
      <w:r>
        <w:rPr>
          <w:rFonts w:asciiTheme="minorEastAsia" w:hAnsiTheme="minorEastAsia" w:eastAsiaTheme="minorEastAsia" w:cstheme="minorEastAsia"/>
          <w:sz w:val="24"/>
        </w:rPr>
        <w:t>/运单、邮局出具的挂号信收条或邮政快递公司出具的相关收取邮件的证明等）和快递流转签收截图等作为发函控制的审计工作底稿。</w:t>
      </w:r>
    </w:p>
    <w:p w14:paraId="6FE51D8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安排审计人员跟进询证函的签收情况，确认发函、回函的物流信息，并在底稿中予以记录。审计人员需要对异常事项保持应有的关注并予以核实，例如，询证函的签收日期明显有异于正常的物流速度、非函证联系人本人签收等。</w:t>
      </w:r>
    </w:p>
    <w:p w14:paraId="14ECEEC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为确认收到的回函为发出的原件，所有询证函发送或寄出之前，注册会计师可采取企业盖章完毕的询证函编号、拍照或者扫描以留存影印件、考虑在银行询证函上添加不易复制的特定标识等措施作为发函的证据之一。</w:t>
      </w:r>
    </w:p>
    <w:p w14:paraId="0F26CFD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6）当天未寄出的询证函应由注册会计师保管或以同样有效的方式对询证函加以控制。</w:t>
      </w:r>
    </w:p>
    <w:p w14:paraId="1DE70C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7）对于初次函证或针对历史回函率不高的被询证单位，建议采取并行措施，即在发出正式函证通知书的同时，附加一份详细的函证说明文档，旨在提升函证回复的及时性与准确性。针对自然人的被询证者，可在函证通知书中明确要求，其在回复函证时须附具个人身份证件的复印件，以作为身份验证的依据。</w:t>
      </w:r>
    </w:p>
    <w:p w14:paraId="6EC013C4">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2.跟函方式的发函控制</w:t>
      </w:r>
    </w:p>
    <w:p w14:paraId="04398A1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 xml:space="preserve">1）了解并核实被询证单位的跟函地址，了解被询证单位处理询证函的流程。 </w:t>
      </w:r>
    </w:p>
    <w:p w14:paraId="29BA2AB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独自或在被审计单位员工的陪同下前往被询证单位执行函证程序。如果注册会计师跟函时需要被审计单位员工陪伴，注册会计师需要在整个过程中保持对询证函的控制。对被审计单位和被询证银行之间串通舞弊的风险保持警觉。例如，观察被审计单位陪同人员是否存在对处理询证函人员施压、贿赂、其他利益输送等影响函证可靠性的情况，被审计单位陪同人员与被询证单位人员单独交流、被询证单位人员因函证信息异常要求被审计单位陪同人员单独向其解释说明等。</w:t>
      </w:r>
    </w:p>
    <w:p w14:paraId="17FE33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3）确认被询证单位处理询证函的流程是否符合规定。包括：确认处理询证函的场地是否为被询证单位的办公场所；确认处理询证函人员的身份和处理询</w:t>
      </w:r>
      <w:r>
        <w:rPr>
          <w:rFonts w:hint="eastAsia" w:asciiTheme="minorEastAsia" w:hAnsiTheme="minorEastAsia" w:eastAsiaTheme="minorEastAsia" w:cstheme="minorEastAsia"/>
          <w:sz w:val="24"/>
        </w:rPr>
        <w:t>证函的权限；确认处理询证函人员是否按照正常流程认真处理询证函。</w:t>
      </w:r>
    </w:p>
    <w:p w14:paraId="27C59DF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4）验证回函的可靠性，对异常事项保持应有的关注并予以核实。</w:t>
      </w:r>
    </w:p>
    <w:p w14:paraId="0251084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将跟函时间、陪同人员、跟函的现场照片、索取的名片、观察员工卡或姓名牌的相关记录、异地跟函的出差票据证明等及跟函过程完整记录于工作底稿。如经允许，可与被询证单位处理函证的相关工作人员合影拍照留为证据。</w:t>
      </w:r>
    </w:p>
    <w:p w14:paraId="588F5EF8">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3.其他电子形式</w:t>
      </w:r>
    </w:p>
    <w:p w14:paraId="36968CF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1）获取并核实被询证单位的邮箱地址或传真号码，考虑收件人的身份是否适当。联系被询证单位，告知其函证事项。</w:t>
      </w:r>
    </w:p>
    <w:p w14:paraId="225BB6A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2）将被审计单位盖章确认后的询证函扫描成电子版，并对扫描过程保持控制，以防纸质询证函被中途替换。</w:t>
      </w:r>
    </w:p>
    <w:p w14:paraId="2AF5108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通过电子邮件向被询证单位发送询证函时，确认被询证人身份以及收件邮箱是否为单位工作邮箱，使用会计师事务所邮箱发出函证函或进行邮件沟通。通过传真向被询证单位发送询证函时，注册会计师必须亲自给被询证单位发送传真，并请被询证单位直接向会计师事务所回函。</w:t>
      </w:r>
    </w:p>
    <w:p w14:paraId="5E1189A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4）确认电子邮件或传真是否已成功发送。</w:t>
      </w:r>
    </w:p>
    <w:p w14:paraId="3F70399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5）记录发函信息，包括不限于：发送方式、时间、地点、邮件内容、经办人员等。</w:t>
      </w:r>
    </w:p>
    <w:p w14:paraId="0CF00D57">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五、常见错误或风险</w:t>
      </w:r>
    </w:p>
    <w:p w14:paraId="475BC968">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（一）</w:t>
      </w:r>
      <w:r>
        <w:rPr>
          <w:rFonts w:asciiTheme="minorEastAsia" w:hAnsiTheme="minorEastAsia" w:eastAsiaTheme="minorEastAsia" w:cstheme="minorEastAsia"/>
          <w:b/>
          <w:bCs/>
          <w:sz w:val="24"/>
        </w:rPr>
        <w:t>未在整个函证过程中保持对询证函的控制。</w:t>
      </w:r>
      <w:r>
        <w:rPr>
          <w:rFonts w:asciiTheme="minorEastAsia" w:hAnsiTheme="minorEastAsia" w:eastAsiaTheme="minorEastAsia" w:cstheme="minorEastAsia"/>
          <w:sz w:val="24"/>
        </w:rPr>
        <w:t>例如，跟函的某些环节由被审计单位陪同人员代为执行，如递交询证函、与银行人员交流、收回询证函等；询证函原件曾落入被审计单位陪同人员之手等。</w:t>
      </w:r>
    </w:p>
    <w:p w14:paraId="41ACC6F8">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（二）</w:t>
      </w:r>
      <w:r>
        <w:rPr>
          <w:rFonts w:asciiTheme="minorEastAsia" w:hAnsiTheme="minorEastAsia" w:eastAsiaTheme="minorEastAsia" w:cstheme="minorEastAsia"/>
          <w:b/>
          <w:bCs/>
          <w:sz w:val="24"/>
        </w:rPr>
        <w:t>未核实被询证单位函证接待人的身份。</w:t>
      </w:r>
      <w:r>
        <w:rPr>
          <w:rFonts w:asciiTheme="minorEastAsia" w:hAnsiTheme="minorEastAsia" w:eastAsiaTheme="minorEastAsia" w:cstheme="minorEastAsia"/>
          <w:sz w:val="24"/>
        </w:rPr>
        <w:t>例如，仅因函证接待人员在被询证单位公共场所、穿着被函证单位工作服等因素，就将询证函交给该人员，而未对其身份进行必要的核实。</w:t>
      </w:r>
    </w:p>
    <w:p w14:paraId="50EE314C">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（三）</w:t>
      </w:r>
      <w:r>
        <w:rPr>
          <w:rFonts w:asciiTheme="minorEastAsia" w:hAnsiTheme="minorEastAsia" w:eastAsiaTheme="minorEastAsia" w:cstheme="minorEastAsia"/>
          <w:b/>
          <w:bCs/>
          <w:sz w:val="24"/>
        </w:rPr>
        <w:t>对于从被审计单位获取的联系人姓名和联系方式等信息，未采取措施进行核实。</w:t>
      </w:r>
      <w:r>
        <w:rPr>
          <w:rFonts w:asciiTheme="minorEastAsia" w:hAnsiTheme="minorEastAsia" w:eastAsiaTheme="minorEastAsia" w:cstheme="minorEastAsia"/>
          <w:sz w:val="24"/>
        </w:rPr>
        <w:t>例如，未通过电话、视频等方式与联系人确认，查看联系人身份证、工作证等证明文件，确认处理询证函人员的身份和处理询证函的权限。</w:t>
      </w:r>
    </w:p>
    <w:p w14:paraId="6FC308E5">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（四）</w:t>
      </w:r>
      <w:r>
        <w:rPr>
          <w:rFonts w:asciiTheme="minorEastAsia" w:hAnsiTheme="minorEastAsia" w:eastAsiaTheme="minorEastAsia" w:cstheme="minorEastAsia"/>
          <w:b/>
          <w:bCs/>
          <w:sz w:val="24"/>
        </w:rPr>
        <w:t>未使用独立的电子设备向被询证单位独立发出询证函。</w:t>
      </w:r>
      <w:r>
        <w:rPr>
          <w:rFonts w:asciiTheme="minorEastAsia" w:hAnsiTheme="minorEastAsia" w:eastAsiaTheme="minorEastAsia" w:cstheme="minorEastAsia"/>
          <w:sz w:val="24"/>
        </w:rPr>
        <w:t>例如，注册会计师使用被审计单位的电脑、网络、邮箱等设备或系统发出询证函；发出询证函时抄送或转发至被审计单位。</w:t>
      </w:r>
    </w:p>
    <w:p w14:paraId="1FBC3DFD">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（五）</w:t>
      </w:r>
      <w:r>
        <w:rPr>
          <w:rFonts w:asciiTheme="minorEastAsia" w:hAnsiTheme="minorEastAsia" w:eastAsiaTheme="minorEastAsia" w:cstheme="minorEastAsia"/>
          <w:b/>
          <w:bCs/>
          <w:sz w:val="24"/>
        </w:rPr>
        <w:t>未全程保持发函独立性，使用被审计单位本身的邮寄设施、合作的物流公司或交由被审计单位代发。</w:t>
      </w:r>
      <w:r>
        <w:rPr>
          <w:rFonts w:asciiTheme="minorEastAsia" w:hAnsiTheme="minorEastAsia" w:eastAsiaTheme="minorEastAsia" w:cstheme="minorEastAsia"/>
          <w:sz w:val="24"/>
        </w:rPr>
        <w:t>例如，将填写好的询证函交由被审计单位安排快递员揽件；在被审计单位现场或所在片区寄发询证函，使用被审计单位常年合作的快递公司寄发询证函，未有效防范被审计单位私下联系快递员拦截询证函的风险。</w:t>
      </w:r>
    </w:p>
    <w:p w14:paraId="58608B61">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cstheme="minorEastAsia"/>
          <w:b/>
          <w:bCs/>
          <w:sz w:val="24"/>
        </w:rPr>
        <w:t>（六）</w:t>
      </w:r>
      <w:r>
        <w:rPr>
          <w:rFonts w:asciiTheme="minorEastAsia" w:hAnsiTheme="minorEastAsia" w:eastAsiaTheme="minorEastAsia" w:cstheme="minorEastAsia"/>
          <w:b/>
          <w:bCs/>
          <w:sz w:val="24"/>
        </w:rPr>
        <w:t>未对被询证单位明确要求直接对会计师事务所回函。</w:t>
      </w:r>
      <w:r>
        <w:rPr>
          <w:rFonts w:asciiTheme="minorEastAsia" w:hAnsiTheme="minorEastAsia" w:eastAsiaTheme="minorEastAsia" w:cstheme="minorEastAsia"/>
          <w:sz w:val="24"/>
        </w:rPr>
        <w:t>例如，被函证单位核对盖章后，将询证函交给被审计单位，再由被审计单位交给注册会计师。</w:t>
      </w:r>
    </w:p>
    <w:p w14:paraId="7A93279F">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六、发函控制工作底稿</w:t>
      </w:r>
    </w:p>
    <w:p w14:paraId="445179B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为了证明注册会计师对发出询证函实施了控制，需要</w:t>
      </w:r>
      <w:r>
        <w:rPr>
          <w:rFonts w:hint="eastAsia" w:asciiTheme="minorEastAsia" w:hAnsiTheme="minorEastAsia" w:eastAsiaTheme="minorEastAsia" w:cstheme="minorEastAsia"/>
          <w:color w:val="auto"/>
          <w:sz w:val="24"/>
        </w:rPr>
        <w:t>在审计工作底稿中</w:t>
      </w:r>
      <w:r>
        <w:rPr>
          <w:rFonts w:hint="eastAsia" w:asciiTheme="minorEastAsia" w:hAnsiTheme="minorEastAsia" w:eastAsiaTheme="minorEastAsia" w:cstheme="minorEastAsia"/>
          <w:sz w:val="24"/>
        </w:rPr>
        <w:t>有详细的记录和证据支持。注册会计师应在工作底稿中保留函证实施过程的痕迹证据及文字记录以备查。包括但不限于：</w:t>
      </w:r>
    </w:p>
    <w:p w14:paraId="36278F6C">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（一）函证单位联系表。</w:t>
      </w:r>
      <w:r>
        <w:rPr>
          <w:rFonts w:hint="eastAsia" w:asciiTheme="minorEastAsia" w:hAnsiTheme="minorEastAsia" w:eastAsiaTheme="minorEastAsia" w:cstheme="minorEastAsia"/>
          <w:sz w:val="24"/>
        </w:rPr>
        <w:t>记录被询证单位的联系方式、获取途径和核实过程。</w:t>
      </w:r>
    </w:p>
    <w:p w14:paraId="2BC2CE51">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（二）函证过程控制及结果汇总表。</w:t>
      </w:r>
      <w:r>
        <w:rPr>
          <w:rFonts w:hint="eastAsia" w:asciiTheme="minorEastAsia" w:hAnsiTheme="minorEastAsia" w:eastAsiaTheme="minorEastAsia" w:cstheme="minorEastAsia"/>
          <w:sz w:val="24"/>
        </w:rPr>
        <w:t>记录对发函过程的控制措施，包括函证方式、日期、被询证单位信息、发函方式等。</w:t>
      </w:r>
    </w:p>
    <w:p w14:paraId="526A995F">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（三）跟函记录表。</w:t>
      </w:r>
      <w:r>
        <w:rPr>
          <w:rFonts w:hint="eastAsia" w:asciiTheme="minorEastAsia" w:hAnsiTheme="minorEastAsia" w:eastAsiaTheme="minorEastAsia" w:cstheme="minorEastAsia"/>
          <w:sz w:val="24"/>
        </w:rPr>
        <w:t>记录函证时间、地点、询证函编号、被审计单位陪同人员、审计人员，总体情况描述，以及所了解被询证者处理函证的通常流程。</w:t>
      </w:r>
    </w:p>
    <w:p w14:paraId="607B74A1">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（四）发函面单照片</w:t>
      </w:r>
      <w:r>
        <w:rPr>
          <w:rFonts w:asciiTheme="minorEastAsia" w:hAnsiTheme="minorEastAsia" w:eastAsiaTheme="minorEastAsia" w:cstheme="minorEastAsia"/>
          <w:b/>
          <w:bCs/>
          <w:sz w:val="24"/>
        </w:rPr>
        <w:t>/复印件和发函物流轨迹。</w:t>
      </w:r>
      <w:r>
        <w:rPr>
          <w:rFonts w:asciiTheme="minorEastAsia" w:hAnsiTheme="minorEastAsia" w:eastAsiaTheme="minorEastAsia" w:cstheme="minorEastAsia"/>
          <w:sz w:val="24"/>
        </w:rPr>
        <w:t>作为工作底稿记录，以证实注册会计师对函证的控制。</w:t>
      </w:r>
    </w:p>
    <w:p w14:paraId="7850D0AA">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（五）发出的询证函复印件或扫描件。</w:t>
      </w:r>
      <w:r>
        <w:rPr>
          <w:rFonts w:hint="eastAsia" w:asciiTheme="minorEastAsia" w:hAnsiTheme="minorEastAsia" w:eastAsiaTheme="minorEastAsia" w:cstheme="minorEastAsia"/>
          <w:sz w:val="24"/>
        </w:rPr>
        <w:t>必要时，将发出的询证函复印件或扫描件作为工作底稿记录，以备查。</w:t>
      </w:r>
    </w:p>
    <w:p w14:paraId="398FC6BC">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（六）跟函过程拍照取证。</w:t>
      </w:r>
      <w:r>
        <w:rPr>
          <w:rFonts w:hint="eastAsia" w:asciiTheme="minorEastAsia" w:hAnsiTheme="minorEastAsia" w:eastAsiaTheme="minorEastAsia" w:cstheme="minorEastAsia"/>
          <w:sz w:val="24"/>
        </w:rPr>
        <w:t>对跟函全过程（特别是盖章、回函过程）进行拍摄，或者在被询证银行大门标识处拍照，与相关工作人员合照等，并将相关视频或图片作为工作底稿记录。</w:t>
      </w:r>
      <w:r>
        <w:rPr>
          <w:rFonts w:asciiTheme="minorEastAsia" w:hAnsiTheme="minorEastAsia" w:eastAsiaTheme="minorEastAsia" w:cstheme="minorEastAsia"/>
          <w:sz w:val="24"/>
        </w:rPr>
        <w:t xml:space="preserve"> </w:t>
      </w:r>
    </w:p>
    <w:p w14:paraId="6C01F8CF">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（七）电子邮件发函记录。</w:t>
      </w:r>
      <w:r>
        <w:rPr>
          <w:rFonts w:hint="eastAsia" w:asciiTheme="minorEastAsia" w:hAnsiTheme="minorEastAsia" w:eastAsiaTheme="minorEastAsia" w:cstheme="minorEastAsia"/>
          <w:sz w:val="24"/>
        </w:rPr>
        <w:t>记录通过电子邮件发出询证函的过程，包括发送的邮箱地址、发送时间、发送内容的截屏等，以证实电子邮件的独立性和真实性。</w:t>
      </w:r>
    </w:p>
    <w:p w14:paraId="74761F06">
      <w:pPr>
        <w:snapToGrid w:val="0"/>
        <w:spacing w:line="360" w:lineRule="auto"/>
        <w:ind w:firstLine="482" w:firstLineChars="200"/>
        <w:rPr>
          <w:rFonts w:asciiTheme="minorEastAsia" w:hAnsiTheme="minorEastAsia" w:cstheme="minorEastAsia"/>
          <w:sz w:val="24"/>
        </w:rPr>
      </w:pPr>
      <w:r>
        <w:rPr>
          <w:rFonts w:hint="eastAsia" w:asciiTheme="minorEastAsia" w:hAnsiTheme="minorEastAsia" w:eastAsiaTheme="minorEastAsia" w:cstheme="minorEastAsia"/>
          <w:b/>
          <w:bCs/>
          <w:sz w:val="24"/>
        </w:rPr>
        <w:t>（八）被审计单位授权注册会计师发函的信息</w:t>
      </w:r>
      <w:r>
        <w:rPr>
          <w:rFonts w:hint="eastAsia" w:asciiTheme="minorEastAsia" w:hAnsiTheme="minorEastAsia" w:cstheme="minorEastAsia"/>
          <w:b/>
          <w:bCs/>
          <w:sz w:val="24"/>
        </w:rPr>
        <w:t>。</w:t>
      </w:r>
      <w:r>
        <w:rPr>
          <w:rFonts w:hint="eastAsia" w:asciiTheme="minorEastAsia" w:hAnsiTheme="minorEastAsia" w:eastAsiaTheme="minorEastAsia" w:cstheme="minorEastAsia"/>
          <w:sz w:val="24"/>
        </w:rPr>
        <w:t>例如被审计单位的电子签名信息和授权函证的</w:t>
      </w:r>
      <w:r>
        <w:rPr>
          <w:rFonts w:asciiTheme="minorEastAsia" w:hAnsiTheme="minorEastAsia" w:eastAsiaTheme="minorEastAsia" w:cstheme="minorEastAsia"/>
          <w:sz w:val="24"/>
        </w:rPr>
        <w:t>IP地址或其他能够表明电子地址或身份的信息、注册会计师发函的IP地址或其他能够表明电子地址或身份的信息。</w:t>
      </w:r>
    </w:p>
    <w:p w14:paraId="267FA2A4">
      <w:pPr>
        <w:snapToGrid w:val="0"/>
        <w:spacing w:line="360" w:lineRule="auto"/>
        <w:ind w:firstLine="480" w:firstLineChars="200"/>
        <w:rPr>
          <w:rFonts w:asciiTheme="minorEastAsia" w:hAnsiTheme="minorEastAsia" w:eastAsiaTheme="minorEastAsia" w:cstheme="minorEastAsia"/>
          <w:sz w:val="24"/>
        </w:rPr>
      </w:pPr>
    </w:p>
    <w:p w14:paraId="559BB2D2">
      <w:pPr>
        <w:snapToGrid w:val="0"/>
        <w:spacing w:line="360" w:lineRule="auto"/>
        <w:ind w:firstLine="0" w:firstLineChars="0"/>
        <w:jc w:val="center"/>
        <w:outlineLvl w:val="1"/>
        <w:rPr>
          <w:rFonts w:asciiTheme="minorEastAsia" w:hAnsiTheme="minorEastAsia" w:eastAsiaTheme="minorEastAsia" w:cstheme="minorEastAsia"/>
          <w:sz w:val="24"/>
        </w:rPr>
      </w:pPr>
      <w:bookmarkStart w:id="65" w:name="_Toc27373"/>
      <w:bookmarkStart w:id="66" w:name="_Toc963"/>
      <w:bookmarkStart w:id="67" w:name="_Toc19505"/>
      <w:r>
        <w:rPr>
          <w:rFonts w:hint="eastAsia" w:asciiTheme="minorEastAsia" w:hAnsiTheme="minorEastAsia" w:eastAsiaTheme="minorEastAsia" w:cstheme="minorEastAsia"/>
          <w:b/>
          <w:bCs/>
          <w:sz w:val="24"/>
        </w:rPr>
        <w:t>第八节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收回询证函</w:t>
      </w:r>
      <w:bookmarkEnd w:id="65"/>
      <w:bookmarkEnd w:id="66"/>
      <w:bookmarkEnd w:id="67"/>
    </w:p>
    <w:p w14:paraId="455A1F06">
      <w:pPr>
        <w:snapToGrid w:val="0"/>
        <w:spacing w:line="360" w:lineRule="auto"/>
        <w:ind w:firstLine="482" w:firstLineChars="200"/>
        <w:outlineLvl w:val="2"/>
        <w:rPr>
          <w:rFonts w:asciiTheme="minorEastAsia" w:hAnsiTheme="minorEastAsia" w:cstheme="minorEastAsia"/>
          <w:b/>
          <w:bCs/>
          <w:sz w:val="24"/>
        </w:rPr>
      </w:pPr>
    </w:p>
    <w:p w14:paraId="7C31BAEF">
      <w:pPr>
        <w:snapToGrid w:val="0"/>
        <w:spacing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一、函证进度控制</w:t>
      </w:r>
    </w:p>
    <w:p w14:paraId="046ECF2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为了降低询证函未能及时获得回函或完全没有回函的风险，注册会计师应当密切关注函证的进度和回函情况，并视情况采取跟进措施。</w:t>
      </w:r>
    </w:p>
    <w:p w14:paraId="64D55E4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（一）在合理的时间内若未收到回函</w:t>
      </w:r>
    </w:p>
    <w:p w14:paraId="683438B5">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1.基于被询证单位的地理位置，合理预估其收到函证的时间，并据此进行催收。</w:t>
      </w:r>
      <w:r>
        <w:rPr>
          <w:rFonts w:asciiTheme="minorEastAsia" w:hAnsiTheme="minorEastAsia" w:eastAsiaTheme="minorEastAsia" w:cstheme="minorEastAsia"/>
          <w:sz w:val="24"/>
        </w:rPr>
        <w:t>例如，在发出快递3日后，通过电话向被询证单位查询是否收到询证函，并请求其尽快回复；若未收到，应查阅物流信息以追查原因，并考虑重新发出询证函。</w:t>
      </w:r>
    </w:p>
    <w:p w14:paraId="01830E61">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2.分析被询证单位内部处理函证流程的时间长度，预估回函时间。</w:t>
      </w:r>
      <w:r>
        <w:rPr>
          <w:rFonts w:asciiTheme="minorEastAsia" w:hAnsiTheme="minorEastAsia" w:eastAsiaTheme="minorEastAsia" w:cstheme="minorEastAsia"/>
          <w:sz w:val="24"/>
        </w:rPr>
        <w:t>若在合理时间内未收到回函，应分析原因、评估其合理性，核实原发函信息的正确性，并考虑再次发出询证函或采取其他应对措施。例如，根据</w:t>
      </w:r>
      <w:r>
        <w:rPr>
          <w:rFonts w:asciiTheme="minorEastAsia" w:hAnsiTheme="minorEastAsia" w:eastAsiaTheme="minorEastAsia" w:cstheme="minorEastAsia"/>
          <w:sz w:val="24"/>
        </w:rPr>
        <w:t>《财政部</w:t>
      </w:r>
      <w:r>
        <w:rPr>
          <w:rFonts w:hint="eastAsia" w:asciiTheme="minorEastAsia" w:hAnsiTheme="minorEastAsia" w:cstheme="minorEastAsia"/>
          <w:sz w:val="24"/>
        </w:rPr>
        <w:t xml:space="preserve"> </w:t>
      </w:r>
      <w:r>
        <w:rPr>
          <w:rFonts w:asciiTheme="minorEastAsia" w:hAnsiTheme="minorEastAsia" w:eastAsiaTheme="minorEastAsia" w:cstheme="minorEastAsia"/>
          <w:sz w:val="24"/>
        </w:rPr>
        <w:t>中国银保监会关于进一步规范银行函证及回函工作的通知》</w:t>
      </w:r>
      <w:r>
        <w:rPr>
          <w:rFonts w:asciiTheme="minorEastAsia" w:hAnsiTheme="minorEastAsia" w:eastAsiaTheme="minorEastAsia" w:cstheme="minorEastAsia"/>
          <w:sz w:val="24"/>
        </w:rPr>
        <w:t>（财会〔2020〕12号）文件规定，银行业金融机构应在收到符合规定的询证函之日起10个工作日内将回函直接回复会计师事务所或交付跟函注册会计师。</w:t>
      </w:r>
    </w:p>
    <w:p w14:paraId="1E80B58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（二）询证函被退回</w:t>
      </w:r>
    </w:p>
    <w:p w14:paraId="4BB736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处理函证事宜的审计人员需及时通知注册会计师</w:t>
      </w:r>
      <w:r>
        <w:rPr>
          <w:rFonts w:hint="eastAsia" w:asciiTheme="minorEastAsia" w:hAnsiTheme="minorEastAsia" w:eastAsiaTheme="minorEastAsia" w:cstheme="minorEastAsia"/>
          <w:color w:val="auto"/>
          <w:sz w:val="24"/>
        </w:rPr>
        <w:t>（项目负责人）</w:t>
      </w:r>
      <w:r>
        <w:rPr>
          <w:rFonts w:hint="eastAsia" w:asciiTheme="minorEastAsia" w:hAnsiTheme="minorEastAsia" w:eastAsiaTheme="minorEastAsia" w:cstheme="minorEastAsia"/>
          <w:sz w:val="24"/>
        </w:rPr>
        <w:t>，并根据退回原因采取相应措施。</w:t>
      </w:r>
    </w:p>
    <w:p w14:paraId="134C7177">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1.若因地址信息错误导致询证函被退回，应重新核实被询证单位的地址、收件人等信息，并再次发出询证函。</w:t>
      </w:r>
    </w:p>
    <w:p w14:paraId="3F7C92B4">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若询证函被询证单位退回，应与被询证单位联系，分析退回原因并评估其合理性，根据退回原因调整函证内容后再次寄发询证函或采取其他应对措施。若退回原因不合理或第二次发函仍被退回，应进一步调查并考虑舞弊可能性，同时在底稿中记录相关的审计风险与对审计的影响。</w:t>
      </w:r>
    </w:p>
    <w:p w14:paraId="0498DD2D">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（三）审计报告日临近仍未收到回函</w:t>
      </w:r>
    </w:p>
    <w:p w14:paraId="6C080AC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需根据审计准则对审计证据的要求，考虑是否已经获得充分、适当的审计证据。审计报告日后获取的回函不能作为形成审计意见时的审计证据，因此，询证函回函时间不应晚于审计报告日。若预计在出具审计报告之前无法取得回函，应在审计报告日前</w:t>
      </w:r>
      <w:r>
        <w:rPr>
          <w:rFonts w:hint="eastAsia" w:asciiTheme="minorEastAsia" w:hAnsiTheme="minorEastAsia" w:eastAsiaTheme="minorEastAsia" w:cstheme="minorEastAsia"/>
          <w:color w:val="auto"/>
          <w:sz w:val="24"/>
        </w:rPr>
        <w:t>注册会计师控制状态下先行收回扫描件或实施其他替代程序，</w:t>
      </w:r>
      <w:r>
        <w:rPr>
          <w:rFonts w:hint="eastAsia" w:asciiTheme="minorEastAsia" w:hAnsiTheme="minorEastAsia" w:eastAsiaTheme="minorEastAsia" w:cstheme="minorEastAsia"/>
          <w:sz w:val="24"/>
        </w:rPr>
        <w:t>并考虑其对财务报告的影响。</w:t>
      </w:r>
    </w:p>
    <w:p w14:paraId="0781EF91">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二、回函控制</w:t>
      </w:r>
    </w:p>
    <w:p w14:paraId="796C7422">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（一）基本控制程序</w:t>
      </w:r>
    </w:p>
    <w:p w14:paraId="4F99A752">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1.关注被询证者确认的询证函是否是原件，是否与注册会计师发出的询证函是同一份。</w:t>
      </w:r>
    </w:p>
    <w:p w14:paraId="1C416D3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2.关注回函是否由被询证者直接寄给注册会计师。</w:t>
      </w:r>
    </w:p>
    <w:p w14:paraId="13D401B4">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3.关注回函信封上的寄件地址或回函信封上寄出方的邮戳显示的发出城市、寄件人是否与审计人员记录的发函地址、收函人信息一致。</w:t>
      </w:r>
    </w:p>
    <w:p w14:paraId="38BA4E98">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4.关注被询证者加盖在询证函上的印章以及签名中显示的被询证者名称是否与已知的印章样式及询证函中记载的被询证者名称一致。</w:t>
      </w:r>
    </w:p>
    <w:p w14:paraId="5483680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（二）银行函证的回函控制</w:t>
      </w:r>
    </w:p>
    <w:p w14:paraId="4B31BB53">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1.邮寄回函控制</w:t>
      </w:r>
    </w:p>
    <w:p w14:paraId="0B64275B">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1）回函结果的获取与记录</w:t>
      </w:r>
    </w:p>
    <w:p w14:paraId="2990FBF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注册会计师应独立签收询证函，并保存回函面单和回函物流轨迹。这一步骤是验证回函真实性的关键，确保了回函的来源和路径可追溯。</w:t>
      </w:r>
    </w:p>
    <w:p w14:paraId="76D41401">
      <w:pPr>
        <w:numPr>
          <w:ilvl w:val="0"/>
          <w:numId w:val="6"/>
        </w:num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验证回函的可靠性</w:t>
      </w:r>
    </w:p>
    <w:p w14:paraId="25FF1A3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注册会计师应对回函的可靠性进行验证，并对任何异常事项保持警觉并进行核实。包括确认收到的回函是否为发出的询证函原件，回函是否由被询证银行直接寄回，以及回函印章是否存在明显瑕疵或可疑之处。</w:t>
      </w:r>
    </w:p>
    <w:p w14:paraId="1161EF6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原件确认。核实回函是否与注册会计师发出的询证函为同一文本，可通过与留存的询证函复印件或扫描件进行核对，检查盖章位置等是否一致。若询证函上添加了特定标识，应在收到回函时检查该标识是否存在。如果收到的询证函回函为复印件、传真件等非原件形式，注册会计师应当与被询证银行联系，要求被询证银行寄回纸质询证函原件。</w:t>
      </w:r>
    </w:p>
    <w:p w14:paraId="2891868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直接寄回确认。确认回函是否直接由被询证银行寄回，以确保回函的独立性和真实性。若回函不是由被询证银行直接寄至会计师事务所，而是经过被审计单位或其他第三方转交，则该回函不能视为可靠的审计证据，注册会计师应评价对评估的重大错报风险以及其他审计程序的性质、时间安排和范围的影响，并考虑重新寄发询证函，并与被询证单位联系，要求被询证单位直接书面寄回注册会计师。</w:t>
      </w:r>
      <w:r>
        <w:rPr>
          <w:rFonts w:asciiTheme="minorEastAsia" w:hAnsiTheme="minorEastAsia" w:eastAsiaTheme="minorEastAsia" w:cstheme="minorEastAsia"/>
          <w:sz w:val="24"/>
        </w:rPr>
        <w:t xml:space="preserve"> </w:t>
      </w:r>
    </w:p>
    <w:p w14:paraId="43B23B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印章和签名核实。检查回函中的银行印章是否与被询证银行的名称一致、骑缝章是否完整，加盖的印章以及签名是否清晰可辨认等。必要时，可与以往审计过程中获取的回函文件中的印鉴进行核对、与被审计单位持有的其他文件进行核对或亲自前往被询证单位进行核实。</w:t>
      </w:r>
    </w:p>
    <w:p w14:paraId="18D79EA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回函物流信息核实。检查回函信封的发件方单位名称、地址与《发函情况表》是否一致。若快递回函信息不完整，应通过互联网查询快递物流信息并截屏保存。同时，核实快递收件网点与被询证单位所在地是否相符，以及挂号或平邮回函的邮戳发出地是否与被询证单位地址一致，以确保回函来源的可靠性。</w:t>
      </w:r>
    </w:p>
    <w:p w14:paraId="1BDCB65A">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3）回函异常情况的处理</w:t>
      </w:r>
    </w:p>
    <w:p w14:paraId="470308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关注回函的异常情况，包括但不限于回函不及时、回函时间高度集中、多份询证函回函笔迹相近或相同、回函寄出地址与发函地址不符或回函寄出地点相同或相近、回函寄出日期与送达日期与距离、快递速度等明显不匹配等。对于这些异常情况，注册会计师应保持警觉并实施进一步的调查和核实。</w:t>
      </w:r>
    </w:p>
    <w:p w14:paraId="797EF545">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2.跟函回函控制</w:t>
      </w:r>
    </w:p>
    <w:p w14:paraId="1615563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1）注册会计师应当关注被询证单位实施核对的全过程，包括在其在计算机系统或相关记录中核对信息，对被审计单位和被询证单位之间串通舞弊的风险保持警觉。</w:t>
      </w:r>
    </w:p>
    <w:p w14:paraId="2796BBF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2）检查回函印鉴和签名。检查回函上加盖的印鉴是否与被询证单位一致，以及是否有经办人签名。</w:t>
      </w:r>
    </w:p>
    <w:p w14:paraId="448A88B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3）如果现场取得询证函回函，注册会计师应实施审计程序以验证回函的可靠性。</w:t>
      </w:r>
    </w:p>
    <w:p w14:paraId="754EB42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①评价回函合理性。了解被询证银行处理函证的通常流程和人员，评价现场取得回函的合理性。</w:t>
      </w:r>
    </w:p>
    <w:p w14:paraId="3B77739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②检查内容是否被篡改。检查收到的询证函内容是否被篡改，包括检查回函是否存在发出询证函前添加的特定标识。</w:t>
      </w:r>
    </w:p>
    <w:p w14:paraId="1BB9DD8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检查银行印章。检查回函中的银行印章是否与被询证银行的名称一致、骑缝章是否完整等。必要时，注册会计师可以与被审计单位持有的其他文件中的被询证银行印章或该被询证银行历年回函印章或同一银行的其他支行回函印章类型进行比对。</w:t>
      </w:r>
    </w:p>
    <w:p w14:paraId="2067361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④确认身份和权限。确认处理询证函人员的身份和处理询证函的权限，如索要名片、观察员工卡或姓名牌等。</w:t>
      </w:r>
    </w:p>
    <w:p w14:paraId="57A6058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4）如果未能现场取得回函，需由被询证银行采用邮寄回函的，注册会计师应执行以下程序：</w:t>
      </w:r>
    </w:p>
    <w:p w14:paraId="3D24A7F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①询问未能现场取得回函的原因。向处理询证函的人员询问不能现场取得回函的原因。</w:t>
      </w:r>
    </w:p>
    <w:p w14:paraId="760FCD0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②核实流程及人员。再次核实被询证银行处理函证的通常流程和处理人员，确认不能现场取得回函的合理性。</w:t>
      </w:r>
    </w:p>
    <w:p w14:paraId="7730556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③确认身份和权限。确认处理询证函人员的身份和权限。</w:t>
      </w:r>
    </w:p>
    <w:p w14:paraId="1B12C10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④要求被询证银行将回函直接寄回至会计师事务所。</w:t>
      </w:r>
    </w:p>
    <w:p w14:paraId="3FEE4783">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3.电子函证平台回函控制</w:t>
      </w:r>
    </w:p>
    <w:p w14:paraId="29396870">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1）信息保存与核实</w:t>
      </w:r>
    </w:p>
    <w:p w14:paraId="3CFB432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通过电子询证函平台收到的回函，通常会保存与函证相关的信息，包括回函结论、发函信息、回函信息以及函证过程信息。</w:t>
      </w:r>
    </w:p>
    <w:p w14:paraId="68EAE20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由于电子询证函平台广泛运用了电子签名，因此电子询证函回函无需额外要求加盖实体章、手写签名或骑缝章。</w:t>
      </w:r>
    </w:p>
    <w:p w14:paraId="41B1BD2F">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2）邮箱地址的使用规范</w:t>
      </w:r>
    </w:p>
    <w:p w14:paraId="5B48930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发出询证函时，注册会计师应明确要求接收电子询证函平台回函的邮箱地址为会计师事务所的邮箱地址。收到回函时，注册会计师应核对发件人的电子邮箱地址是否为电子询证函平台的邮箱地址，而非私人邮箱地址，以验证回函的来源的可靠性。</w:t>
      </w:r>
    </w:p>
    <w:p w14:paraId="28A9CDD8">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3）记录电子签名信息</w:t>
      </w:r>
    </w:p>
    <w:p w14:paraId="744FA6C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注册会计师核对并记录被询证单位和授权经办人的电子签名信息、回函的</w:t>
      </w:r>
      <w:r>
        <w:rPr>
          <w:rFonts w:asciiTheme="minorEastAsia" w:hAnsiTheme="minorEastAsia" w:eastAsiaTheme="minorEastAsia" w:cstheme="minorEastAsia"/>
          <w:sz w:val="24"/>
        </w:rPr>
        <w:t>IP地址或其他能够表明电子地址或身份的信息，以确保回函的可追溯性和真实性。</w:t>
      </w:r>
    </w:p>
    <w:p w14:paraId="07DC1B25">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4）电子邮件的保存</w:t>
      </w:r>
    </w:p>
    <w:p w14:paraId="6CFC054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考虑将函证全过程中的所有电子邮件截屏打印作为工作底稿保存，以备后续审计工作的查阅和核对。</w:t>
      </w:r>
    </w:p>
    <w:p w14:paraId="5D65B851">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（二）企业函证的回函控制</w:t>
      </w:r>
    </w:p>
    <w:p w14:paraId="10C55C99">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1.邮寄回函控制</w:t>
      </w:r>
    </w:p>
    <w:p w14:paraId="7D307C1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参照银行函证的邮寄回函控制。</w:t>
      </w:r>
    </w:p>
    <w:p w14:paraId="48162D5B">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2.跟函回函控制</w:t>
      </w:r>
    </w:p>
    <w:p w14:paraId="3BE8F77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参照银行函证的跟函回函控制。</w:t>
      </w:r>
    </w:p>
    <w:p w14:paraId="479687E9">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3.其他电子形式回函控制</w:t>
      </w:r>
    </w:p>
    <w:p w14:paraId="511AB84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电子形式回函是指被询证单位以传真、微信或通过电子邮件等电子形式向注册会计师发送询证函回复（电子询证函平台通过电子邮件发送回函除外）。电子函证程序涉及多种确认发件人身份的技术，如加密技术、电子数码签名技术、网页真实性认证程序，注册会计师和被询证单位应当采用一定的程序为电子形式的回函创造安全环境。</w:t>
      </w:r>
      <w:r>
        <w:rPr>
          <w:rFonts w:asciiTheme="minorEastAsia" w:hAnsiTheme="minorEastAsia" w:eastAsiaTheme="minorEastAsia" w:cstheme="minorEastAsia"/>
          <w:sz w:val="24"/>
        </w:rPr>
        <w:t xml:space="preserve">  </w:t>
      </w:r>
    </w:p>
    <w:p w14:paraId="248A4833">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1）回函结果的获取与记录</w:t>
      </w:r>
    </w:p>
    <w:p w14:paraId="6C0F8B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注册会计师应独立接收询证函，应使用会计师事务所的传真号码、工作邮箱等收取回函，注意保存微信聊天界面截屏、电子邮件往来记录等，这一步骤是验证回函真实性的关键，确保了回函的来源和路径可追溯。</w:t>
      </w:r>
    </w:p>
    <w:p w14:paraId="0CA23EAC">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2）验证回函的可靠性</w:t>
      </w:r>
    </w:p>
    <w:p w14:paraId="1C1C4B7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对电子回函的可靠性进行验证，并对任何异常事项保持警觉并进行核实。包括确认收到的回函是否为发出的询证函原件，回函是否由被询证单位直接发出，以及回函印章是否存在明显瑕疵或可疑之处。</w:t>
      </w:r>
    </w:p>
    <w:p w14:paraId="39A2CCF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原件确认：核实电子回函是否与注册会计师发出的询证函为同一文本，可通过与留存的询证函复印件或扫描件进行核对，检查盖章位置等是否一致。若询证函上添加了特定标识，应在收到回函时检查该标识是否存在。</w:t>
      </w:r>
    </w:p>
    <w:p w14:paraId="524F17F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直接发出确认：确认电子回函是否直接由被询证单位发出，以确保回函的独立性和真实性。例如，核对传真所使用的电话号码是否为被询证单位的电话号码，发件电子邮箱地址是否为被询证单位内部邮箱地址，微信发件人是否为被询证单位工作人员，并确认发件人是否对被函证信息是否知情、是否具有客观性、是否拥有回函的授权等。若回函不是由被询证单位直接发送至注册会计师，而是经过被审计单位或其他第三方转发，则该回函不能视为可靠的审计证据。</w:t>
      </w:r>
    </w:p>
    <w:p w14:paraId="380EE0C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③印章和签名核实：检查电子回函中的印章是否与被询证单位的名称一致、签名是否完整等。必要时，可与以往审计过程中获取的回函文件中的印鉴进行核对、与被审计单位持有的其他文件进行核对或亲自前往被询证单位进行核实等。连续审计时，也可将回函中的印章与以前年度回函或其他文件中的印章进行核对。</w:t>
      </w:r>
    </w:p>
    <w:p w14:paraId="2D74F92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④电子回函来源核实：通过技术手段如查看电子邮件信头、</w:t>
      </w:r>
      <w:r>
        <w:rPr>
          <w:rFonts w:asciiTheme="minorEastAsia" w:hAnsiTheme="minorEastAsia" w:eastAsiaTheme="minorEastAsia" w:cstheme="minorEastAsia"/>
          <w:sz w:val="24"/>
        </w:rPr>
        <w:t>IP地址核实等确认电子回函的来源，确保其未被篡改或伪造。</w:t>
      </w:r>
    </w:p>
    <w:p w14:paraId="6FB2ECA5">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3）电子形式回函的特殊考虑</w:t>
      </w:r>
    </w:p>
    <w:p w14:paraId="2E44D5E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电子形式函证方式存在被拦截、更改或者其他舞弊风险的程度远远高于其他函证方式，且回函者的身份及其授权情况很难确定。注册会计师可与被询证者联系以核实回函的来源及内容。例如，当被询证者通过电子邮件回函时，注册会计师可以通过电话联系被询证者，确定被询证者是否发送了回函。</w:t>
      </w:r>
    </w:p>
    <w:p w14:paraId="7473A19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基于电子形式回函的可靠性存在较大风险，建议将电子形式回函作为阶段性的辅助性证据。注册会计师基于时间因素的考虑可先获取电子形式的回函，但仍应要求被询证单位提供纸质回函原件或亲自前往被询证单位取回询证函纸质回函原件，将纸质回函原件与传真件对应归入工作底稿。</w:t>
      </w:r>
    </w:p>
    <w:p w14:paraId="757BBB8F">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4.对询证函进行口头回复</w:t>
      </w:r>
    </w:p>
    <w:p w14:paraId="4F1FA20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于只对询证函进行口头回复而非书面回复不符合函证的要求，因此，不能作为可靠的审计证据。在收到对询证函口头回复的情况下，注册会计师可以根据情况要求被询证者提供直接书面回复。如果仍未收到书面回函，注册会计师需要通过实施替代程序，寻找其他审计证据以支持口头回复中的信息。</w:t>
      </w:r>
      <w:r>
        <w:rPr>
          <w:rFonts w:asciiTheme="minorEastAsia" w:hAnsiTheme="minorEastAsia" w:eastAsiaTheme="minorEastAsia" w:cstheme="minorEastAsia"/>
          <w:sz w:val="24"/>
        </w:rPr>
        <w:t xml:space="preserve"> </w:t>
      </w:r>
    </w:p>
    <w:p w14:paraId="16F85D88">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三、针对自然人函证的特殊考虑</w:t>
      </w:r>
    </w:p>
    <w:p w14:paraId="48C3EC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对自然人进行函证时，除应要求回函者亲自签名外，通常还需加按手印、同时提供身份证明以增强证据效力。鉴于自然人身份及其授权状态的验证难度较大，导致舞弊风险相较于对企业法人、社会团体等组织的函证显著增高，注册会计师应当审慎考虑并采取以下特别审计措施：</w:t>
      </w:r>
    </w:p>
    <w:p w14:paraId="6D5954D1">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（一）跟函程序</w:t>
      </w:r>
    </w:p>
    <w:p w14:paraId="2E5D7C3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1.注册会计师需亲自观察并记录自然人签字的全过程，确保签字行为的真实性。</w:t>
      </w:r>
    </w:p>
    <w:p w14:paraId="545AF314">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2.核对被函证自然人的身份证原件，与身份证影像信息进行比对，以确认签字人是否为被询证对象本人。</w:t>
      </w:r>
    </w:p>
    <w:p w14:paraId="21D7D777">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3.复印并归档身份证件，作为审计证据。在条件允许的情况下，可进一步要求被函证自然人提供手持签字确认询证函的合影，以增强证据的可靠性。</w:t>
      </w:r>
    </w:p>
    <w:p w14:paraId="3217DC53">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（二）邮寄函证程序</w:t>
      </w:r>
    </w:p>
    <w:p w14:paraId="6A9B7F57">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1.验证回函者身份，要求被询证自然人在寄送回函时，一并附上其身份证复印件或扫描件，并仔细检查复印件或扫描件是否存在篡改或伪造迹象。</w:t>
      </w:r>
    </w:p>
    <w:p w14:paraId="074D1BC5">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2.如条件允许，可进一步要求提供被函证自然人手持已签字询证函的留影照片或扫描件，作为辅助验证材料。</w:t>
      </w:r>
    </w:p>
    <w:p w14:paraId="1BE23A5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（三）特殊交易情形的处理</w:t>
      </w:r>
    </w:p>
    <w:p w14:paraId="233BCC0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当被审计单位与自然人的交易具有必要性，且涉及金额重大或交易频繁时，注册会计师应优先考虑采用亲往函证的方式。</w:t>
      </w:r>
    </w:p>
    <w:p w14:paraId="1C6D6831">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四、常见错误或风险</w:t>
      </w:r>
    </w:p>
    <w:p w14:paraId="1E61CA55">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（一）函证记录不完整</w:t>
      </w:r>
    </w:p>
    <w:p w14:paraId="65025307">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1.跟函记录缺失</w:t>
      </w:r>
    </w:p>
    <w:p w14:paraId="21F749B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采用跟函方式进行函证时，未能在审计工作底稿中保留跟函记录，导致无法追溯注册会计师对询证函的控制过程。</w:t>
      </w:r>
    </w:p>
    <w:p w14:paraId="0F0595AE">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2.收件信息未保留</w:t>
      </w:r>
    </w:p>
    <w:p w14:paraId="59B71C9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回函的信函或快件的收件信息未被记录或保存，影响了审计证据的完整性。</w:t>
      </w:r>
    </w:p>
    <w:p w14:paraId="4164FEB5">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3.控制记录不全</w:t>
      </w:r>
    </w:p>
    <w:p w14:paraId="557DE70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函证过程控制记录的缺失或不当留存，导致函证全过程记录断裂，无法验证函证的真实性和可靠性。</w:t>
      </w:r>
    </w:p>
    <w:p w14:paraId="2C160B5E">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（二）回函的独立性和真实性存疑</w:t>
      </w:r>
    </w:p>
    <w:p w14:paraId="0C0A75A9">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1.回函独立性不充分</w:t>
      </w:r>
    </w:p>
    <w:p w14:paraId="1CB244C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被询证单位未将回函直接发给注册会计师，而是通过被审计单位转交，影响回函的独立性，增加篡改风险。</w:t>
      </w:r>
    </w:p>
    <w:p w14:paraId="4662964A">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2.电子回函真实性未验证</w:t>
      </w:r>
    </w:p>
    <w:p w14:paraId="4CE167F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被询证单位以传真、微信或电子邮件等电子形式发送的回函未经过充分验证，注册会计师未考虑被询证单位的真实性以及电子或传真询证函回函是否可以满足充分适当的审计证据的要求。</w:t>
      </w:r>
    </w:p>
    <w:p w14:paraId="0EED9E3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（三）未关注回函异常迹象</w:t>
      </w:r>
    </w:p>
    <w:p w14:paraId="4A9EFEC2">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1.回函信息不一致</w:t>
      </w:r>
    </w:p>
    <w:p w14:paraId="0BACE71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回函信息与被询证单位记录不一致，注册会计师未关注可能存在的舞弊风险。</w:t>
      </w:r>
    </w:p>
    <w:p w14:paraId="520796EA">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2.回函来源可疑</w:t>
      </w:r>
    </w:p>
    <w:p w14:paraId="78FBA2F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回函来源不明或存在多个相同特征的回函，例如收到的多份回函笔迹相同或发件人信息异常相似，不同被询证单位的回函显示发件人相同或相近的联系方式，或邮戳显示的发函地址相同，注册会计师未关注这可能表明回函的真实性存疑。</w:t>
      </w:r>
    </w:p>
    <w:p w14:paraId="2646FE5E">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3.回函率异常</w:t>
      </w:r>
    </w:p>
    <w:p w14:paraId="6C7D8B6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例如：银行函证未回函；与以前年度相比，回函率异常偏高或回函率重大变动；向被审计单位的债权人发送的询证函回函率很低；过于完美的回函，所有回函均能收回且回函没有差异。注册会计师未关注可能回函过程受到操纵，选择性回函或其他舞弊风险。</w:t>
      </w:r>
    </w:p>
    <w:p w14:paraId="44671B33">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（四）未核对印章与签名</w:t>
      </w:r>
    </w:p>
    <w:p w14:paraId="026A429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没有核对回函原件骑缝章的完整性，询证函被企业截留并替换了其中几张关键信息。</w:t>
      </w:r>
    </w:p>
    <w:p w14:paraId="05884ADC">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1.印章不符或缺失</w:t>
      </w:r>
    </w:p>
    <w:p w14:paraId="5274E2D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注册会计师未发现回函上印章与被询证单位不符、缺失正规印章或印章存在明显瑕疵，可能存在伪造印章或其他舞弊风险。</w:t>
      </w:r>
    </w:p>
    <w:p w14:paraId="21D89C79">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2.骑缝章不完整</w:t>
      </w:r>
    </w:p>
    <w:p w14:paraId="6E28D2F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注册会计师未核对回函原件骑缝章的完整性，可能导致询证函被截留并替换关键信息，影响审计证据的真实性。</w:t>
      </w:r>
    </w:p>
    <w:p w14:paraId="5AE312F2">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（五）未采取适当的后续措施</w:t>
      </w:r>
    </w:p>
    <w:p w14:paraId="4CBEB62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例如，询证函长时间未回、回函内容与预期不符等情况，未进一步采取相应措施。如再次发函或与被询证单位沟通讨论函证事项，可能导致审计证据不足。</w:t>
      </w:r>
    </w:p>
    <w:p w14:paraId="2A0AE238">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五、回函控制工作底稿</w:t>
      </w:r>
    </w:p>
    <w:p w14:paraId="165EECE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（一）函证过程控制及结果汇总表。详细记录对回函过程的控制措施</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w:t>
      </w:r>
    </w:p>
    <w:p w14:paraId="1369A91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（二）询证函回函。将询证函回函作为工作底稿记录，其中电子平台函证和电子形式以外的纸质版函证原件作为工作底稿留存。</w:t>
      </w:r>
    </w:p>
    <w:p w14:paraId="1CBE6FB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发函面单和物流轨迹。保存邮寄询证函时的快递面单照片或复印件，以及发函后的物流轨迹截图或记录。对于电子发函，保存电子邮件发送截图及收件人确认回复（如适用），以验证发函的独立性和完整性。</w:t>
      </w:r>
    </w:p>
    <w:p w14:paraId="2400178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（四）询证函复印件或扫描件。必要时，保存发出的询证函复印件或扫描件，以备后续审计工作的查阅和核对。</w:t>
      </w:r>
    </w:p>
    <w:p w14:paraId="1ABD701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跟函记录表。记录跟函时间、地点、询证函编号、被审计单位陪同人员（如有）、审计人员等基本信息；描述跟函过程，包括被询证单位处理函证的流程、处理人员身份和权限的核实情况、函证处理过程的观察等。必要时，附上现场照片、索要的名片、工作证复印件等辅助证据。</w:t>
      </w:r>
    </w:p>
    <w:p w14:paraId="1013CD2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（六）电子询证函记录。对于通过电子邮件方式发送的询证函，记录并保存所有相关的电子邮件往来，包括发件人、收件人信息的邮件内容截屏，保存询证函电子版的扫描件或</w:t>
      </w:r>
      <w:r>
        <w:rPr>
          <w:rFonts w:asciiTheme="minorEastAsia" w:hAnsiTheme="minorEastAsia" w:eastAsiaTheme="minorEastAsia" w:cstheme="minorEastAsia"/>
          <w:sz w:val="24"/>
        </w:rPr>
        <w:t>PDF格式文件。</w:t>
      </w:r>
    </w:p>
    <w:p w14:paraId="1DC7A903">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（七）异常事项处理记录。记录函证过程中遇到的任何异常事项（如回函延迟、回函内容不符等），以及采取的处理措施和结果。</w:t>
      </w:r>
    </w:p>
    <w:p w14:paraId="1397E98F">
      <w:pPr>
        <w:snapToGrid w:val="0"/>
        <w:spacing w:line="360" w:lineRule="auto"/>
        <w:ind w:firstLine="480" w:firstLineChars="200"/>
        <w:rPr>
          <w:rFonts w:asciiTheme="minorEastAsia" w:hAnsiTheme="minorEastAsia" w:eastAsiaTheme="minorEastAsia" w:cstheme="minorEastAsia"/>
          <w:sz w:val="24"/>
        </w:rPr>
      </w:pPr>
    </w:p>
    <w:p w14:paraId="51D19C75">
      <w:pPr>
        <w:snapToGrid w:val="0"/>
        <w:spacing w:line="360" w:lineRule="auto"/>
        <w:ind w:firstLine="0" w:firstLineChars="0"/>
        <w:jc w:val="center"/>
        <w:outlineLvl w:val="1"/>
        <w:rPr>
          <w:rFonts w:asciiTheme="minorEastAsia" w:hAnsiTheme="minorEastAsia" w:eastAsiaTheme="minorEastAsia" w:cstheme="minorEastAsia"/>
          <w:b/>
          <w:bCs/>
          <w:sz w:val="24"/>
        </w:rPr>
      </w:pPr>
      <w:bookmarkStart w:id="68" w:name="_Toc27220"/>
      <w:bookmarkStart w:id="69" w:name="_Toc5381"/>
      <w:bookmarkStart w:id="70" w:name="_Toc19791"/>
      <w:r>
        <w:rPr>
          <w:rFonts w:hint="eastAsia" w:asciiTheme="minorEastAsia" w:hAnsiTheme="minorEastAsia" w:eastAsiaTheme="minorEastAsia" w:cstheme="minorEastAsia"/>
          <w:b/>
          <w:bCs/>
          <w:sz w:val="24"/>
        </w:rPr>
        <w:t>第九节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函证结果评价</w:t>
      </w:r>
      <w:bookmarkEnd w:id="68"/>
      <w:bookmarkEnd w:id="69"/>
      <w:bookmarkEnd w:id="70"/>
    </w:p>
    <w:p w14:paraId="52CE1228">
      <w:pPr>
        <w:snapToGrid w:val="0"/>
        <w:spacing w:line="360" w:lineRule="auto"/>
        <w:ind w:firstLine="0" w:firstLineChars="0"/>
        <w:outlineLvl w:val="2"/>
        <w:rPr>
          <w:rFonts w:asciiTheme="minorEastAsia" w:hAnsiTheme="minorEastAsia" w:cstheme="minorEastAsia"/>
          <w:b/>
          <w:bCs/>
          <w:sz w:val="24"/>
        </w:rPr>
      </w:pPr>
    </w:p>
    <w:p w14:paraId="74B935A7">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一、核对和处理回函结果</w:t>
      </w:r>
    </w:p>
    <w:p w14:paraId="3715D3B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注册会计师须仔细核对银行回函信息的完整性，评估回函内容是否包含影响其可靠性的免责或其他限制性条款。同时，注册会计师需区分情况处理回函结果。</w:t>
      </w:r>
    </w:p>
    <w:p w14:paraId="039EE72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（一）回函中包括免责或其他限制性条款</w:t>
      </w:r>
    </w:p>
    <w:p w14:paraId="31668A6B">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1.对回函可靠性不产生影响的条款</w:t>
      </w:r>
    </w:p>
    <w:p w14:paraId="064459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回函中格式化的免责条款可能并不影响所确认信息的可靠性，实务中常见的这种免责条款的例子包括：</w:t>
      </w:r>
    </w:p>
    <w:p w14:paraId="375383E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1）“提供的本信息仅出于礼貌，我方没有义务必须提供，我方不因此承担任何明示或暗示的责任、义务和担保”。</w:t>
      </w:r>
    </w:p>
    <w:p w14:paraId="50E16AD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2）“本回复仅用于审计目的，被询证者、其员工或代理人无任何责任，也不能免除注册会计师做其他询问或执行其他工作的责任”。</w:t>
      </w:r>
    </w:p>
    <w:p w14:paraId="318A8B4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限制性条款如果与所测试的认定无关，也不一定会导致回函失去可靠性。例如，当注册会计师的审计目标是投资是否存在，并使用函证来获取审计证据时，回函中针对投资价值的免责条款并不一定会影响回函的可靠性。</w:t>
      </w:r>
    </w:p>
    <w:p w14:paraId="2D68EDAD">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2.对回函可靠性产生影响的条款</w:t>
      </w:r>
    </w:p>
    <w:p w14:paraId="7A2E370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一些限制性条款可能使注册会计师对回函中所包含信息的完整性、准确性或注册会计师能够信赖其所含信息的程度产生怀疑，实务中常见的此类限制性条款的例子包括：</w:t>
      </w:r>
    </w:p>
    <w:p w14:paraId="764A97E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1）“本信息从电子数据库中取得，可能不包括被询证者所拥有的全部信息”。</w:t>
      </w:r>
    </w:p>
    <w:p w14:paraId="5AF652C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2）“既不保证本信息准确也不保证其是最新的，其他方可能会持有不同意见”。</w:t>
      </w:r>
    </w:p>
    <w:p w14:paraId="7ADF08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3）“接收人不能依赖函证中的信息”。</w:t>
      </w:r>
      <w:r>
        <w:rPr>
          <w:rFonts w:hint="eastAsia" w:asciiTheme="minorEastAsia" w:hAnsiTheme="minorEastAsia" w:cstheme="minorEastAsia"/>
          <w:sz w:val="24"/>
        </w:rPr>
        <w:t xml:space="preserve">                                                                                                                                                                                                                                                                                                                                                                                             </w:t>
      </w:r>
    </w:p>
    <w:p w14:paraId="14331CF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特殊情况下，如果限制性条款产生的影响难以确定，注册会计师可能认为要求被询证者澄清或寻求法律意见是适当的。如果回函中包含了影响其可靠性的免责或其他限制性条款，注册会计师应当及时与被询证单位沟通，询问相关原因，并根据情况再次发出询证函。</w:t>
      </w:r>
    </w:p>
    <w:p w14:paraId="4FCFB7E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再次发出询证函不可行，注册会计师应当针对所有未确认的函证信息实施替代程序。这些程序的性质和范围将取决于财务报表项目的性质、所测试的认定、限制条款的性质和实质，以及通过其他审计程序获取的相关证据等因素。</w:t>
      </w:r>
    </w:p>
    <w:p w14:paraId="324D7F8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如果通过替代程序无法获取充分、适当的审计证据，或者替代程序不可行，应当考虑回函是否因此失去可靠性，并按照《中国注册会计师审计准则第</w:t>
      </w:r>
      <w:r>
        <w:rPr>
          <w:rFonts w:asciiTheme="minorEastAsia" w:hAnsiTheme="minorEastAsia" w:eastAsiaTheme="minorEastAsia" w:cstheme="minorEastAsia"/>
          <w:sz w:val="24"/>
        </w:rPr>
        <w:t xml:space="preserve"> 1502 </w:t>
      </w:r>
      <w:r>
        <w:rPr>
          <w:rFonts w:hint="eastAsia" w:asciiTheme="minorEastAsia" w:hAnsiTheme="minorEastAsia" w:eastAsiaTheme="minorEastAsia" w:cstheme="minorEastAsia"/>
          <w:sz w:val="24"/>
        </w:rPr>
        <w:t>号——在审计报告中发表非无保留意见》的规定，确定其对审计工作和审计意见的影响。</w:t>
      </w:r>
    </w:p>
    <w:p w14:paraId="73C2A94C">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（二）仅对部分函证事项予以回复</w:t>
      </w:r>
    </w:p>
    <w:p w14:paraId="57980AE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审计过程中，被询证单位可能未对全部函证事项作出回应，而仅针对部分函证事项予以回复。例如，银行函证中，银行可能在原询证函上盖章签字并返回，但明确标注仅对某一事项进行确认；或者银行不同意对无交易事项的函证项目以“无”的方式处理，而是选择性地回复部分函证事项；有的银行会删除原询证函的部分内容，或仅对填写了交易事项的函证项目进行回复，忽略空白的其他函证事项。又例如，企业函证信息除往来款余额外，还可能包含交易额、合同条款、项目进展情况等其他的信息。被询证单位可能仅对其中一项或几项信息进行确认，而没有对所有函证信息进行回应。</w:t>
      </w:r>
      <w:r>
        <w:rPr>
          <w:rFonts w:asciiTheme="minorEastAsia" w:hAnsiTheme="minorEastAsia" w:eastAsiaTheme="minorEastAsia" w:cstheme="minorEastAsia"/>
          <w:sz w:val="24"/>
        </w:rPr>
        <w:t xml:space="preserve"> </w:t>
      </w:r>
    </w:p>
    <w:p w14:paraId="1E09FA07">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1.沟通与确认</w:t>
      </w:r>
    </w:p>
    <w:p w14:paraId="61AF592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根据《银行函证工作操作指引》（财办会〔</w:t>
      </w:r>
      <w:r>
        <w:rPr>
          <w:rFonts w:asciiTheme="minorEastAsia" w:hAnsiTheme="minorEastAsia" w:eastAsiaTheme="minorEastAsia" w:cstheme="minorEastAsia"/>
          <w:sz w:val="24"/>
        </w:rPr>
        <w:t xml:space="preserve">2024〕2号）的要求，被询证银行应当对银行询证函所列示的 1-14 </w:t>
      </w:r>
      <w:r>
        <w:rPr>
          <w:rFonts w:hint="eastAsia" w:asciiTheme="minorEastAsia" w:hAnsiTheme="minorEastAsia" w:eastAsiaTheme="minorEastAsia" w:cstheme="minorEastAsia"/>
          <w:sz w:val="24"/>
        </w:rPr>
        <w:t>项及附表涉及的全部信息作出回应。注册会计师应及时与被询证银行沟通，了解未回应事项的原因，并确认被审计单位在该银行是否有其他项目。若必要，可向被询证银行的上级行或集中处理部门反映情况。</w:t>
      </w:r>
    </w:p>
    <w:p w14:paraId="7A22C8B7">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2.再次发出询证函</w:t>
      </w:r>
    </w:p>
    <w:p w14:paraId="1E291C7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在与被询证单位沟通后，若需进一步确认信息，注册会计师应再次发出询证函，以获取对全部询证事项的完整回复。</w:t>
      </w:r>
    </w:p>
    <w:p w14:paraId="5B5781F8">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3.实施替代程序</w:t>
      </w:r>
    </w:p>
    <w:p w14:paraId="46EA791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再次发出询证函不可行，或被询证单位仍拒绝对全部询证事项予以回复时，注册会计师应针对所有未确认的函证信息实施替代程序，例如从人民银行征信中心、被审计单位开户行等相关机构直接获取被审计单位的信用报告，并与被审计单位的会计记录相核对。</w:t>
      </w:r>
    </w:p>
    <w:p w14:paraId="39B7A101">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4.考虑审计意见的影响</w:t>
      </w:r>
    </w:p>
    <w:p w14:paraId="4E310C8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若通过替代程序仍无法获取充分、适当的审计证据，注册会计师需要考虑这种情况对审计意见的影响，并在审计报告中予以反映。</w:t>
      </w:r>
    </w:p>
    <w:p w14:paraId="2D3A8F2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（三）回函不符</w:t>
      </w:r>
    </w:p>
    <w:p w14:paraId="048D700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根据《中国注册会计师审计准则第</w:t>
      </w:r>
      <w:r>
        <w:rPr>
          <w:rFonts w:asciiTheme="minorEastAsia" w:hAnsiTheme="minorEastAsia" w:eastAsiaTheme="minorEastAsia" w:cstheme="minorEastAsia"/>
          <w:sz w:val="24"/>
        </w:rPr>
        <w:t>1312</w:t>
      </w:r>
      <w:r>
        <w:rPr>
          <w:rFonts w:hint="eastAsia" w:asciiTheme="minorEastAsia" w:hAnsiTheme="minorEastAsia" w:eastAsiaTheme="minorEastAsia" w:cstheme="minorEastAsia"/>
          <w:sz w:val="24"/>
        </w:rPr>
        <w:t>号——函证》</w:t>
      </w:r>
      <w:r>
        <w:rPr>
          <w:rFonts w:hint="eastAsia" w:asciiTheme="minorEastAsia" w:hAnsiTheme="minorEastAsia" w:cstheme="minorEastAsia"/>
          <w:sz w:val="24"/>
        </w:rPr>
        <w:t>的</w:t>
      </w:r>
      <w:r>
        <w:rPr>
          <w:rFonts w:asciiTheme="minorEastAsia" w:hAnsiTheme="minorEastAsia" w:cstheme="minorEastAsia"/>
          <w:sz w:val="24"/>
        </w:rPr>
        <w:t>规定</w:t>
      </w:r>
      <w:r>
        <w:rPr>
          <w:rFonts w:hint="eastAsia" w:asciiTheme="minorEastAsia" w:hAnsiTheme="minorEastAsia" w:eastAsiaTheme="minorEastAsia" w:cstheme="minorEastAsia"/>
          <w:sz w:val="24"/>
        </w:rPr>
        <w:t>，不符事项，是指被询证单位提供的信息与询证函要求确认的信息不一致，或与被审计单位记录的信息不一致。</w:t>
      </w:r>
    </w:p>
    <w:p w14:paraId="78D19BA6">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1.不符事项的处理</w:t>
      </w:r>
    </w:p>
    <w:p w14:paraId="59BC128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回函显示存在不符事项的情况下，注册会计师应对所有回函显示的差异和不符事项的原因、性质、频率、金额予以充分关注，编制《函证结果调节表》，获取必要的审计证据以判断被审计单位的账务处理是否正确，是否记录于恰当的会计期间，考虑是否需要作出相应的审计调整或披露。</w:t>
      </w:r>
    </w:p>
    <w:p w14:paraId="0D52794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回函中已明确指出不符金额或事项，注册会计师通常无需再次发出询证函，而应将不符回函作为审计证据留存。若不符事项由被询证单位的回函书写错误造成，则需考虑是否重新发出询证函。若需重新发函，且被询证单位要求退回错误回函原件，注册会计师应复印或扫描该原件予以留存，并与新的询证函一同寄出。</w:t>
      </w:r>
    </w:p>
    <w:p w14:paraId="6B0B471D">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2.调查不符事项的原因</w:t>
      </w:r>
    </w:p>
    <w:p w14:paraId="3705ACE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注册会计师应实施审计程序，包括询问被审计单位相关人员以了解不符原因，并检查相关资料（如对账单、借款合同、抵押担保合同、企业信用报告、开户证实书、定期存单等），以核实不符原因。</w:t>
      </w:r>
      <w:r>
        <w:rPr>
          <w:rFonts w:asciiTheme="minorEastAsia" w:hAnsiTheme="minorEastAsia" w:eastAsiaTheme="minorEastAsia" w:cstheme="minorEastAsia"/>
          <w:sz w:val="24"/>
        </w:rPr>
        <w:t xml:space="preserve">    </w:t>
      </w:r>
    </w:p>
    <w:p w14:paraId="07E0E50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符事项可能由时间性差异、一方或双方记账错误、函证信息记录有误或回函信息不完整等原因导致，甚至可能是舞弊行为所致。注册会计师应要求被审计单位管理层对不符原因进行解释，并进一步取得和查看相关支持性文件作为审计证据，对不符事项进行分析，判断是否存在错报。注册会计师应保持职业怀疑，警惕小额差异可能是方向相反的大额差异正负相抵的结果。</w:t>
      </w:r>
    </w:p>
    <w:p w14:paraId="684B1A31">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3.针对不符事项实施审计程序</w:t>
      </w:r>
    </w:p>
    <w:p w14:paraId="6C025AA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注册会计师应根据不符事项的原因、性质和金额，进一步实施具体的审计程序。</w:t>
      </w:r>
    </w:p>
    <w:p w14:paraId="3CA9B508">
      <w:pPr>
        <w:snapToGrid w:val="0"/>
        <w:spacing w:line="360" w:lineRule="auto"/>
        <w:ind w:firstLine="480" w:firstLineChars="200"/>
        <w:outlineLvl w:val="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1）对于因时间性差异或记账错误导致的不符事项</w:t>
      </w:r>
    </w:p>
    <w:p w14:paraId="1272739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应获取被审计单位编制的差异调节表，并根据具体情况确定是否存在错报。注册会计师应根据形成时间差异的具体原因实施审计程序确定是否存在错报。例如：</w:t>
      </w:r>
    </w:p>
    <w:p w14:paraId="02E2C6E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被审计单位在资产负债表日前确认了应收账款和收入，但客户在资产负债表日后才将该笔交易作为应付款项入账，注册会计师可以实施截止性测试，检查销售合同或订单、发货记录、客户签收单等，以验证回函不符事项是否由于时间性差异造成。</w:t>
      </w:r>
    </w:p>
    <w:p w14:paraId="20CDA06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客户在资产负债表日后将货物退回被审计单位，但被审计单位未能及时对退货进行会计记录，注册会计师可以对退货实施截止性测试，检查退货通知单、收货单据、库存商品永续记录、红字发票等，以验证回函不符的原因。</w:t>
      </w:r>
    </w:p>
    <w:p w14:paraId="148CC5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若客户已经在资产负债表日前付款，但被审计单位在资产负债表日后才入账，注册会计师可以检查收款记录，核实该笔汇款是否在资产负债表日后收到，存入银行账户的款项是否在正确期间计入应收账款明细账。</w:t>
      </w:r>
    </w:p>
    <w:p w14:paraId="07DDC03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当被审计单位的某一客户亦是其供应商时，应收账款和应付账款可能已经互相抵销，不符事项可能由抵销所致。注册会计师需要确认被审计单位与其客户</w:t>
      </w:r>
      <w:r>
        <w:rPr>
          <w:rFonts w:asciiTheme="minorEastAsia" w:hAnsiTheme="minorEastAsia" w:eastAsiaTheme="minorEastAsia" w:cstheme="minorEastAsia"/>
          <w:sz w:val="24"/>
        </w:rPr>
        <w:t>/供应商之间的协议是否允许这种抵销。</w:t>
      </w:r>
    </w:p>
    <w:p w14:paraId="51BA73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若有迹象表明被审计单位与其客户之间存在争议，应追查争议原因并评价争议处理是否恰当，关注是否可能影响客户偿付能力和计提减值准备的适当性。</w:t>
      </w:r>
    </w:p>
    <w:p w14:paraId="72BC083C">
      <w:pPr>
        <w:snapToGrid w:val="0"/>
        <w:spacing w:line="360" w:lineRule="auto"/>
        <w:ind w:firstLine="480" w:firstLineChars="200"/>
        <w:outlineLvl w:val="6"/>
        <w:rPr>
          <w:rFonts w:asciiTheme="minorEastAsia" w:hAnsiTheme="minorEastAsia" w:eastAsiaTheme="minorEastAsia" w:cstheme="minorEastAsia"/>
          <w:sz w:val="24"/>
        </w:rPr>
      </w:pPr>
      <w:r>
        <w:rPr>
          <w:rFonts w:hint="eastAsia" w:asciiTheme="minorEastAsia" w:hAnsiTheme="minorEastAsia" w:cstheme="minorEastAsia"/>
          <w:sz w:val="24"/>
        </w:rPr>
        <w:t>（2）</w:t>
      </w:r>
      <w:r>
        <w:rPr>
          <w:rFonts w:hint="eastAsia" w:asciiTheme="minorEastAsia" w:hAnsiTheme="minorEastAsia" w:eastAsiaTheme="minorEastAsia" w:cstheme="minorEastAsia"/>
          <w:sz w:val="24"/>
        </w:rPr>
        <w:t>对于因函证信息记录错误导致的不符事项</w:t>
      </w:r>
    </w:p>
    <w:p w14:paraId="088202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应重新发函或实施替代程序。</w:t>
      </w:r>
    </w:p>
    <w:p w14:paraId="3586A630">
      <w:pPr>
        <w:snapToGrid w:val="0"/>
        <w:spacing w:line="360" w:lineRule="auto"/>
        <w:ind w:firstLine="480" w:firstLineChars="200"/>
        <w:outlineLvl w:val="6"/>
        <w:rPr>
          <w:rFonts w:asciiTheme="minorEastAsia" w:hAnsiTheme="minorEastAsia" w:eastAsiaTheme="minorEastAsia" w:cstheme="minorEastAsia"/>
          <w:sz w:val="24"/>
        </w:rPr>
      </w:pPr>
      <w:r>
        <w:rPr>
          <w:rFonts w:hint="eastAsia" w:asciiTheme="minorEastAsia" w:hAnsiTheme="minorEastAsia" w:cstheme="minorEastAsia"/>
          <w:sz w:val="24"/>
        </w:rPr>
        <w:t>（3）</w:t>
      </w:r>
      <w:r>
        <w:rPr>
          <w:rFonts w:hint="eastAsia" w:asciiTheme="minorEastAsia" w:hAnsiTheme="minorEastAsia" w:eastAsiaTheme="minorEastAsia" w:cstheme="minorEastAsia"/>
          <w:sz w:val="24"/>
        </w:rPr>
        <w:t>对于因舞弊导致的不符事项</w:t>
      </w:r>
    </w:p>
    <w:p w14:paraId="4050333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应重新考虑对风险评估结果以及所实施程序的性质、时间和范围的影响，并与管理层及时沟通，考虑对审计报告和审计其他方面的影响。</w:t>
      </w:r>
    </w:p>
    <w:p w14:paraId="750630B0">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4.错报的评价</w:t>
      </w:r>
    </w:p>
    <w:p w14:paraId="0C940B1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询证函回函中指出的不符事项可能显示财务报表存在错报或潜在错报。当识别出错报时，注册会计师需要根据《中国注册会计师审计准则第</w:t>
      </w:r>
      <w:r>
        <w:rPr>
          <w:rFonts w:asciiTheme="minorEastAsia" w:hAnsiTheme="minorEastAsia" w:eastAsiaTheme="minorEastAsia" w:cstheme="minorEastAsia"/>
          <w:sz w:val="24"/>
        </w:rPr>
        <w:t>1141号——财务报表审计中与舞弊相关的责任》的规定，评价该错报是否表明存在舞弊。不符事项可以为注册会计师判断来自类似的被询证者回函的质量及类似账户的回函质量提供参考；不符事项还可能显示被审计单位与财务报告相关的内部控制存在缺陷。</w:t>
      </w:r>
    </w:p>
    <w:p w14:paraId="16E6D4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根据《中国注册会计师审计准则第</w:t>
      </w:r>
      <w:r>
        <w:rPr>
          <w:rFonts w:asciiTheme="minorEastAsia" w:hAnsiTheme="minorEastAsia" w:eastAsiaTheme="minorEastAsia" w:cstheme="minorEastAsia"/>
          <w:sz w:val="24"/>
        </w:rPr>
        <w:t>1314号——审计抽样》的规定，如果以抽样方式实施函证，对样本中识别出的错报，注册会计师应当调查错报的原因，并根据样本错报推断总体中存在的错报。</w:t>
      </w:r>
    </w:p>
    <w:p w14:paraId="7ED11B6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同时应当考虑针对函证测试未覆盖的剩余部分中可能存在的错报单独或连同其他错报是否可能导致财务报表整体存在重大错报。必要时，与管理层讨论重要不符事项，并确定是否需要修改或追加审计程序以解决不符事项，并考虑存在的情形对审计其他方面的影响。</w:t>
      </w:r>
      <w:r>
        <w:rPr>
          <w:rFonts w:asciiTheme="minorEastAsia" w:hAnsiTheme="minorEastAsia" w:eastAsiaTheme="minorEastAsia" w:cstheme="minorEastAsia"/>
          <w:sz w:val="24"/>
        </w:rPr>
        <w:t xml:space="preserve"> </w:t>
      </w:r>
    </w:p>
    <w:p w14:paraId="0569F9EC">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（四）采取自有格式回函</w:t>
      </w:r>
    </w:p>
    <w:p w14:paraId="0504B7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若被询证单位采用自有格式回函，注册会计师应采取措施以确保审计证据的充分性和适当性。</w:t>
      </w:r>
      <w:r>
        <w:rPr>
          <w:rFonts w:asciiTheme="minorEastAsia" w:hAnsiTheme="minorEastAsia" w:eastAsiaTheme="minorEastAsia" w:cstheme="minorEastAsia"/>
          <w:sz w:val="24"/>
        </w:rPr>
        <w:t xml:space="preserve"> </w:t>
      </w:r>
    </w:p>
    <w:p w14:paraId="590C8865">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1.留存询证函副本</w:t>
      </w:r>
    </w:p>
    <w:p w14:paraId="704E2F2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注册会计师应提前将所寄发的询证函拍照或扫描留存，作为底稿中函证程序实施的证据之一，以证明所发出的函证内容。</w:t>
      </w:r>
    </w:p>
    <w:p w14:paraId="65052C9E">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2.检查回函完整性</w:t>
      </w:r>
    </w:p>
    <w:p w14:paraId="641AA19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注册会计师应检查自有格式回函文本中是否针对所有函证事项予以回复。对于未全面回复的情况，应按照“仅对部分函证事项予以回复”追加审计程序处理。</w:t>
      </w:r>
    </w:p>
    <w:p w14:paraId="003ED542">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二、未回函的应对</w:t>
      </w:r>
    </w:p>
    <w:p w14:paraId="695D0F16">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本指引所称未回函，是指被询证者对积极式询证函未予回复或回复不完整，或询证函因未被送达而退回。通常情况下，未回函的原因可能包括被询证者由于地址变更、询证函被中途拦截等原因没有收到询证函，被询证者不存在，被询证者内控制度对回函有相关禁止性规定，被询证者故意不回复等。未回函可能是由于某些客观因素导致而具有一定的合理性，也可能预示财务报表认定层次（账户余额、其他信息）存在重大错报风险（包括舞弊风险），如：账户余额或交易虚假（被询证者不存在）、账户余额严重虚大（询证函被中途拦截、被审计单位与被询证者串通故意不回复）等。</w:t>
      </w:r>
    </w:p>
    <w:p w14:paraId="77C6D6B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函证项目未回函的情况下，注册会计师应考虑是否存在未识别的重大错报风险（包括舞弊风险）。如果认为可能存在未识别的重大错报风险，注册会计师应修正认定层次的重大错报风险评估结果（包括舞弊风险）并相应地修改计划的审计程序。如果认为不大可能存在未识别的重大错报风险，注册会计师应对未回函项目采取进一步审计程序。</w:t>
      </w:r>
    </w:p>
    <w:p w14:paraId="36117A61">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（一）检查发函信息并沟通</w:t>
      </w:r>
    </w:p>
    <w:p w14:paraId="5D1D1D5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注册会计师应首先检查被询证单位的地址、联系方式等发函信息是否正确。</w:t>
      </w:r>
    </w:p>
    <w:p w14:paraId="028396C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与被询证单位沟通，了解是否收到询证函、询证函处理进度、预计回函时间及回函快递单号等信息。</w:t>
      </w:r>
    </w:p>
    <w:p w14:paraId="42D553E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（二）催收回函或重新发函</w:t>
      </w:r>
    </w:p>
    <w:p w14:paraId="250635E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若因被询证单位工作失误等原因遗漏回函，应催收回函。</w:t>
      </w:r>
    </w:p>
    <w:p w14:paraId="4F7A8FE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若被询证单位人员丢失询证函原件</w:t>
      </w:r>
      <w:r>
        <w:rPr>
          <w:rFonts w:asciiTheme="minorEastAsia" w:hAnsiTheme="minorEastAsia" w:eastAsiaTheme="minorEastAsia" w:cstheme="minorEastAsia"/>
          <w:sz w:val="24"/>
        </w:rPr>
        <w:t>/声明未收到邮件，或因询证函格式不符合规定而不予回函，应在核实原因后，按照要求重新发出询证函。</w:t>
      </w:r>
    </w:p>
    <w:p w14:paraId="1B8416D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（三）实施替代程序</w:t>
      </w:r>
    </w:p>
    <w:p w14:paraId="4885ED1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采取上述措施后仍无法收回询证函，注册会计师应当考虑取得积极式询证函回函是否是获取充分、适当的审计证据的必要程序。如果取得积极式询证函回函是获取充分、适当的审计证据的必要程序，则替代程序不能提供注册会计师所需要的审计证据。在这种情况下，如果未获取回函，注册会计师应当按照《中国注册会计师审计准则第</w:t>
      </w:r>
      <w:r>
        <w:rPr>
          <w:rFonts w:asciiTheme="minorEastAsia" w:hAnsiTheme="minorEastAsia" w:eastAsiaTheme="minorEastAsia" w:cstheme="minorEastAsia"/>
          <w:sz w:val="24"/>
        </w:rPr>
        <w:t xml:space="preserve"> 1502 </w:t>
      </w:r>
      <w:r>
        <w:rPr>
          <w:rFonts w:hint="eastAsia" w:asciiTheme="minorEastAsia" w:hAnsiTheme="minorEastAsia" w:eastAsiaTheme="minorEastAsia" w:cstheme="minorEastAsia"/>
          <w:sz w:val="24"/>
        </w:rPr>
        <w:t>号——在审计报告中发表非无保留意见》的规定，确定其对审计工作和审计意见的影响。</w:t>
      </w:r>
    </w:p>
    <w:p w14:paraId="4F36E94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如果取得积极式询证函回函不是获取充分、适当的审计证据的必要程序，注册会计师应当实施替代审计程序获取相关、可靠的审计证据。</w:t>
      </w:r>
    </w:p>
    <w:p w14:paraId="388B630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在实施替代程序时，注册会计师应对所有未回函的样本项目实施替代程序，而不能选取部分未回函样本项目实施替代程序。例如，对于应收账款函证，注册会计师选择被审计单位的应收账款明细账户发送了</w:t>
      </w:r>
      <w:r>
        <w:rPr>
          <w:rFonts w:asciiTheme="minorEastAsia" w:hAnsiTheme="minorEastAsia" w:eastAsiaTheme="minorEastAsia" w:cstheme="minorEastAsia"/>
          <w:sz w:val="24"/>
        </w:rPr>
        <w:t>60份函证，并收回了40份函证，则注册会计师需要对未回函的20份函证都实施替代程序，而不能仅抽取其中部分未回函的样本项目实施替代程序。</w:t>
      </w:r>
    </w:p>
    <w:p w14:paraId="5C75D92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（四）替代程序的具体措施举例</w:t>
      </w:r>
    </w:p>
    <w:p w14:paraId="1833891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替代程序需包含对交易过程和结果的验证。过程验证替代指通过验证交易发生的全流程，确认账户余额或交易的真实性、完整性及权利义务归属。结果验证替代指通过直接核查账户余额或交易结果的准确性，验证财务信息的可靠性。下面以应收账款和应付账款为例说明替代程序的具体措施。​</w:t>
      </w:r>
    </w:p>
    <w:p w14:paraId="055497EB">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1.应收账款</w:t>
      </w:r>
    </w:p>
    <w:p w14:paraId="14010871">
      <w:pPr>
        <w:numPr>
          <w:ilvl w:val="0"/>
          <w:numId w:val="7"/>
        </w:num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过程验证替代</w:t>
      </w:r>
    </w:p>
    <w:p w14:paraId="12FB1A7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销售合同、订单、出库单、物流签收记录等交易支持性文件，确认未回函客户的交易是否真实存在；核对客户信用审批记录及发货审批流程，验证交易是否经过适当授权；分析应收账款账龄与历史回款记录的匹配性。</w:t>
      </w:r>
    </w:p>
    <w:p w14:paraId="1A72906E">
      <w:pPr>
        <w:numPr>
          <w:ilvl w:val="0"/>
          <w:numId w:val="8"/>
        </w:num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结果验证替代</w:t>
      </w:r>
    </w:p>
    <w:p w14:paraId="17501406">
      <w:pPr>
        <w:numPr>
          <w:ilvl w:val="255"/>
          <w:numId w:val="0"/>
        </w:num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核对账务记录，比对总账、明细账与原始凭证的金额一致性；检查期后回款，核查资产负债表日后相应收款单据或记录（例如现金收据、银行进账单、银行对账单等），验证期末余额的存在性及可收回性。</w:t>
      </w:r>
    </w:p>
    <w:p w14:paraId="5C29BBFB">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2.应付账款</w:t>
      </w:r>
    </w:p>
    <w:p w14:paraId="26307FF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1）过程验证替代</w:t>
      </w:r>
    </w:p>
    <w:p w14:paraId="0247DFA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检查采购订单、验收单、发票及付款审批记录等采购流程文件，确认未回函客户的交易是否真实存在；核对供应商对账单与应付账款明细账，验证入账金额准确性。</w:t>
      </w:r>
    </w:p>
    <w:p w14:paraId="0302B93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2）结果验证替代</w:t>
      </w:r>
    </w:p>
    <w:p w14:paraId="261D11F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核对账务记录，比对总账、明细账与供应商发票、验收单的一致性；检查期后付款，核查资产负债表日后实际付款记录，验证应付账款余额准确性。</w:t>
      </w:r>
    </w:p>
    <w:p w14:paraId="4F6CD35E">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3.注意事项</w:t>
      </w:r>
    </w:p>
    <w:p w14:paraId="4DAD55C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若无法明确应收账款、应付账款余额与具体交易的对应关系，注册会计师可能需要扩大检查范围，根据实际情况确定检查比例，并在审计工作底稿中详细记录检查样本量的确定依据及审计抽样选样方法。</w:t>
      </w:r>
      <w:r>
        <w:rPr>
          <w:rFonts w:asciiTheme="minorEastAsia" w:hAnsiTheme="minorEastAsia" w:eastAsiaTheme="minorEastAsia" w:cstheme="minorEastAsia"/>
          <w:sz w:val="24"/>
        </w:rPr>
        <w:t xml:space="preserve"> </w:t>
      </w:r>
    </w:p>
    <w:p w14:paraId="73629A9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若无法获取关键支持性文件（如缺失出库单或验收单），需评估审计风险并考虑扩大样本量或追加程序；替代程序无法完全替代函证，若发现重大差异或异常，需考虑发表非无保留意见。</w:t>
      </w:r>
    </w:p>
    <w:p w14:paraId="1BC1E360">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（五）关注舞弊迹象</w:t>
      </w:r>
    </w:p>
    <w:p w14:paraId="510C500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在实施替代程序的过程中，注册会计师必须保持警觉，特别关注可能表明舞弊的迹象。</w:t>
      </w:r>
    </w:p>
    <w:p w14:paraId="0227ECA5">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1.注重第三方证据的获取。</w:t>
      </w:r>
      <w:r>
        <w:rPr>
          <w:rFonts w:asciiTheme="minorEastAsia" w:hAnsiTheme="minorEastAsia" w:eastAsiaTheme="minorEastAsia" w:cstheme="minorEastAsia"/>
          <w:sz w:val="24"/>
        </w:rPr>
        <w:t>例如，对应收账款实施替代程序时，注册会计师可以获取相关交易涉及的外部物流单位开具的物流或货运单据（如适用）、经被审计单位的客户签字确认的签收单（如适用）或其他外部支持性文件等审计证据，而不仅依赖被审计单位内部的出库单或发票等内部支持性文件。</w:t>
      </w:r>
    </w:p>
    <w:p w14:paraId="36F0AA33">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2.在检查相关支持性文件时，对可能的异常情况予以关注和跟进。</w:t>
      </w:r>
      <w:r>
        <w:rPr>
          <w:rFonts w:asciiTheme="minorEastAsia" w:hAnsiTheme="minorEastAsia" w:eastAsiaTheme="minorEastAsia" w:cstheme="minorEastAsia"/>
          <w:sz w:val="24"/>
        </w:rPr>
        <w:t>这些异常</w:t>
      </w:r>
      <w:r>
        <w:rPr>
          <w:rFonts w:hint="eastAsia" w:asciiTheme="minorEastAsia" w:hAnsiTheme="minorEastAsia" w:eastAsiaTheme="minorEastAsia" w:cstheme="minorEastAsia"/>
          <w:sz w:val="24"/>
        </w:rPr>
        <w:t>情况可能包括但不限于交易金额异常、交易对手方频繁变更、交易时间不符合常理等。</w:t>
      </w:r>
    </w:p>
    <w:p w14:paraId="0B816BA7">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三、函证程序的总体评价</w:t>
      </w:r>
    </w:p>
    <w:p w14:paraId="5CC45A0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（一）总体评价原则</w:t>
      </w:r>
    </w:p>
    <w:p w14:paraId="338C80EB">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1.相关性与可靠性评估</w:t>
      </w:r>
    </w:p>
    <w:p w14:paraId="09CA9C3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注册会计师应评价函证程序（包括替代程序）是否提供了与认定相关且可靠的审计证据。这要求审计证据能够支持财务报表中的相关认定，且其来源和收集过程应保证证据的真实性和准确性。</w:t>
      </w:r>
    </w:p>
    <w:p w14:paraId="6CD6D443">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2.检查风险降低程度</w:t>
      </w:r>
    </w:p>
    <w:p w14:paraId="639C6EA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注册会计师应评估通过函证程序所获取的审计证据是否将检查风险降至可接受的水平。如果审计证据不足以降低检查风险至可接受水平，注册会计师应考虑实施额外的审计程序以获取更多证据。</w:t>
      </w:r>
    </w:p>
    <w:p w14:paraId="38935A30">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3.替代程序的考量</w:t>
      </w:r>
    </w:p>
    <w:p w14:paraId="2A006B1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函证过程和其替代程序未能提供充分、适当的审计证据时，注册会计师应设计并执行其他程序以获取所需证据。特别地，如果取得询证函回函是获取充分、适当审计证据的必要程序，而替代程序无法应对认定层次的重大错报风险，注册会计师应充分考虑其对审计工作和审计意见的影响。</w:t>
      </w:r>
    </w:p>
    <w:p w14:paraId="037D497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（二）具体评价内容</w:t>
      </w:r>
    </w:p>
    <w:p w14:paraId="67BDB71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在评价函证程序结果时，注册会计师可以关注以下几个方面：</w:t>
      </w:r>
    </w:p>
    <w:p w14:paraId="48D74FBD">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1.函证和替代程序的可靠性</w:t>
      </w:r>
    </w:p>
    <w:p w14:paraId="5390F1F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注册会计师应评估函证程序和替代程序的设计和执行情况，确保其能够有效收集相关、可靠的审计证据。这包括评估被询证者的适当性、回函的真实性和完整性等。</w:t>
      </w:r>
    </w:p>
    <w:p w14:paraId="7E59B56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估函证程序可靠性时，注册会计师除了考虑指引已经提及的常规情况外，还应关注以下因素：不正常的回函率（如异常偏高、偏低或完全一致），被询证单位与被审计单位之间可能存在的独立性问题（如经济依赖、职责分离不当），以及管理层对函证程序的干预行为（如不允许寄发、试图拦截或篡改询证函）。此外，若在审计报告日后收到可能影响审计意见的回函，注册会计师需遵循执业规程中关于期后事项的规定，采取适当措施应对。</w:t>
      </w:r>
    </w:p>
    <w:p w14:paraId="4AF17E60">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2.例外事项的分析</w:t>
      </w:r>
    </w:p>
    <w:p w14:paraId="059ACAC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对于函证过程中出现的任何例外事项（如不符事项、未回函等），注册会计师应深入分析其性质、频率、原因以及对审计意见的影响。</w:t>
      </w:r>
    </w:p>
    <w:p w14:paraId="68C28A5A">
      <w:pPr>
        <w:snapToGrid w:val="0"/>
        <w:spacing w:line="360" w:lineRule="auto"/>
        <w:ind w:firstLine="482" w:firstLineChars="200"/>
        <w:outlineLvl w:val="4"/>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3.其他审计证据的补充</w:t>
      </w:r>
    </w:p>
    <w:p w14:paraId="413BA20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注册会计师应考虑通过其他审计程序（如检查、观察、询问等）获取的审计证据，以补充和验证函证程序的结果。这有助于增强审计证据的多样性和可靠性，提高审计意见的准确性。</w:t>
      </w:r>
    </w:p>
    <w:p w14:paraId="31E212F6">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四、常见错误或风险</w:t>
      </w:r>
    </w:p>
    <w:p w14:paraId="25781DB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在函证结果评价过程中，注册会计师需警惕可能的错误或风险，包括但不限于：</w:t>
      </w:r>
    </w:p>
    <w:p w14:paraId="3452DC53">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（一）未关注回函信息不完整或限制性条款</w:t>
      </w:r>
    </w:p>
    <w:p w14:paraId="4C6090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回函内容不完整或包含影响回函可靠性的免责或其他限制性条款，注册会计师未予以关注和应对，可能导致审计证据不足以支持审计结论。</w:t>
      </w:r>
    </w:p>
    <w:p w14:paraId="378A9133">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（二）未充分调查回函不符事项</w:t>
      </w:r>
    </w:p>
    <w:p w14:paraId="088F370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对于银行回函中存在的不符事项，如账户信息、金额、利率和期限等，未予充分关注和进一步调查，可能遗漏识别错报或舞弊的机会。</w:t>
      </w:r>
    </w:p>
    <w:p w14:paraId="010C7326">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（三）未关注往来款函证金额差异</w:t>
      </w:r>
    </w:p>
    <w:p w14:paraId="4419D0E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在往来款函证中，若回函金额与被审计单位记录存在差异，注册会计师应关注并核实差异原因。若仅因为差异金额小且低于重要性水平而未进行深入追查，可能未能发现潜在的重大错报。</w:t>
      </w:r>
    </w:p>
    <w:p w14:paraId="29C67B18">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（四）未重新评估新证据与回函不符的情况</w:t>
      </w:r>
    </w:p>
    <w:p w14:paraId="6649286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当获取的新审计证据与回函信息不符时，未对函证结果进行重新评价，可能影响审计结论的准确性。</w:t>
      </w:r>
    </w:p>
    <w:p w14:paraId="5C02DDFA">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（五）未妥善处理自有格式回函或内容删减</w:t>
      </w:r>
    </w:p>
    <w:p w14:paraId="5548E86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当被函证单位以自有格式回函或删减询证函内容时，未予以关注和进一步处理，可能导致审计证据不完整。</w:t>
      </w:r>
    </w:p>
    <w:p w14:paraId="207AE246">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（六）未全面执行替代程序</w:t>
      </w:r>
    </w:p>
    <w:p w14:paraId="583ED03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在未收到回函时，注册会计师未对所有未回函的样本项目实施替代程序，仅选取部分未回函样本项目实施替代程序。</w:t>
      </w:r>
    </w:p>
    <w:p w14:paraId="16698AFB">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（七）回函晚于审计报告日未采取替代措施</w:t>
      </w:r>
    </w:p>
    <w:p w14:paraId="61CAD49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对于回函日期晚于审计报告日的情况，未执行替代程序或未在工作底稿中记录。</w:t>
      </w:r>
    </w:p>
    <w:p w14:paraId="2B42F3D9">
      <w:pPr>
        <w:snapToGrid w:val="0"/>
        <w:spacing w:line="360" w:lineRule="auto"/>
        <w:ind w:firstLine="482" w:firstLineChars="200"/>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（八）未完整保存询证函原件</w:t>
      </w:r>
    </w:p>
    <w:p w14:paraId="643ED78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询证函回函原件未及时归档，导致丢失；随意销毁回函不符的询证函回函，导致审计证据链不完整。</w:t>
      </w:r>
    </w:p>
    <w:p w14:paraId="559D8C42">
      <w:pPr>
        <w:snapToGrid w:val="0"/>
        <w:spacing w:before="156" w:beforeLines="50" w:after="156" w:afterLines="50"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五、函证结果评价工作底稿</w:t>
      </w:r>
    </w:p>
    <w:p w14:paraId="16F18B4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在执行函证程序并评价其结果后，注册会计师必须在相关工作底稿中作详细记录，常见工作底稿包括但不限于：</w:t>
      </w:r>
    </w:p>
    <w:p w14:paraId="458A2BC8">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（一）函证过程控制及结果汇总表</w:t>
      </w:r>
    </w:p>
    <w:p w14:paraId="7246C2DA">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记录函证结果， 汇总回函相符确认的金额和比例，以及对未回函或不符事项采取的进一步行动。</w:t>
      </w:r>
    </w:p>
    <w:p w14:paraId="1D0CF2D9">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（二）函证结果调节表</w:t>
      </w:r>
    </w:p>
    <w:p w14:paraId="74A3F2C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对于回函中存在的不符事项，注册会计师应编制《函证结果调节表》，记录对不符事项的调查过程，包括不符的原因、性质、频率和金额。对由于入账时间以及记账错误所导致的差异编制《差异调节表》。</w:t>
      </w:r>
    </w:p>
    <w:p w14:paraId="422ACFCE">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（三）沟通记录</w:t>
      </w:r>
      <w:r>
        <w:rPr>
          <w:rFonts w:asciiTheme="minorEastAsia" w:hAnsiTheme="minorEastAsia" w:eastAsiaTheme="minorEastAsia" w:cstheme="minorEastAsia"/>
          <w:b/>
          <w:bCs/>
          <w:sz w:val="24"/>
        </w:rPr>
        <w:t xml:space="preserve"> </w:t>
      </w:r>
    </w:p>
    <w:p w14:paraId="643727B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如果与被询证银行或单位进行了沟通，记录沟通的过程和结论，包括电话沟通、现场询问或电子邮件往来。</w:t>
      </w:r>
    </w:p>
    <w:p w14:paraId="5BEA328F">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（四）替代程序记录</w:t>
      </w:r>
    </w:p>
    <w:p w14:paraId="229AF27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在相关项目的“替代测试汇总表”和“替代测试表”中记录已实施的替代程序，以及通过这些程序获取的审计证据。记录因未收到回函或回函不充分而采取的替代程序，以及这些程序的结果和对审计结论的影响。</w:t>
      </w:r>
      <w:r>
        <w:rPr>
          <w:rFonts w:asciiTheme="minorEastAsia" w:hAnsiTheme="minorEastAsia" w:eastAsiaTheme="minorEastAsia" w:cstheme="minorEastAsia"/>
          <w:sz w:val="24"/>
        </w:rPr>
        <w:t xml:space="preserve"> </w:t>
      </w:r>
    </w:p>
    <w:p w14:paraId="209C0DCA">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（五）函证结果的评价</w:t>
      </w:r>
    </w:p>
    <w:p w14:paraId="004B1CC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在相关项目工作底稿中记录对函证程序结果的评价。</w:t>
      </w:r>
    </w:p>
    <w:p w14:paraId="11D7C45A">
      <w:pPr>
        <w:snapToGrid w:val="0"/>
        <w:spacing w:line="360" w:lineRule="auto"/>
        <w:ind w:firstLine="480" w:firstLineChars="200"/>
        <w:rPr>
          <w:rFonts w:asciiTheme="minorEastAsia" w:hAnsiTheme="minorEastAsia" w:eastAsiaTheme="minorEastAsia" w:cstheme="minorEastAsia"/>
          <w:sz w:val="24"/>
        </w:rPr>
      </w:pPr>
    </w:p>
    <w:p w14:paraId="5FB9DDB5">
      <w:pPr>
        <w:snapToGrid w:val="0"/>
        <w:spacing w:line="360" w:lineRule="auto"/>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br w:type="page"/>
      </w:r>
    </w:p>
    <w:p w14:paraId="1138628D">
      <w:pPr>
        <w:spacing w:line="360" w:lineRule="auto"/>
        <w:jc w:val="center"/>
        <w:outlineLvl w:val="0"/>
        <w:rPr>
          <w:rFonts w:ascii="方正小标宋简体" w:hAnsi="方正小标宋简体" w:eastAsia="方正小标宋简体" w:cs="方正小标宋简体"/>
          <w:sz w:val="30"/>
          <w:szCs w:val="30"/>
        </w:rPr>
      </w:pPr>
      <w:bookmarkStart w:id="71" w:name="_Toc11339"/>
      <w:r>
        <w:rPr>
          <w:rFonts w:hint="eastAsia" w:ascii="方正小标宋简体" w:hAnsi="方正小标宋简体" w:eastAsia="方正小标宋简体" w:cs="方正小标宋简体"/>
          <w:sz w:val="30"/>
          <w:szCs w:val="30"/>
        </w:rPr>
        <w:t>第五章  记录和报告</w:t>
      </w:r>
      <w:bookmarkEnd w:id="71"/>
    </w:p>
    <w:p w14:paraId="6B1EE8D3">
      <w:pPr>
        <w:snapToGrid w:val="0"/>
        <w:spacing w:line="360" w:lineRule="auto"/>
        <w:ind w:firstLine="482" w:firstLineChars="200"/>
        <w:rPr>
          <w:rFonts w:asciiTheme="minorEastAsia" w:hAnsiTheme="minorEastAsia" w:cstheme="minorEastAsia"/>
          <w:b/>
          <w:bCs/>
          <w:sz w:val="24"/>
        </w:rPr>
      </w:pPr>
    </w:p>
    <w:p w14:paraId="2250B10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函证操作流程全过程的记录、整理及归档</w:t>
      </w:r>
      <w:r>
        <w:rPr>
          <w:rFonts w:hint="eastAsia" w:asciiTheme="minorEastAsia" w:hAnsiTheme="minorEastAsia" w:eastAsiaTheme="minorEastAsia" w:cstheme="minorEastAsia"/>
          <w:sz w:val="24"/>
        </w:rPr>
        <w:t>为注册会计师按照审计准则的规定执行审计工作提供了证据。注册会计师应当对实施的函证程序进行记录，及时形成审计工作底稿，为评价注册会计师</w:t>
      </w:r>
      <w:r>
        <w:rPr>
          <w:rFonts w:hint="eastAsia" w:asciiTheme="minorEastAsia" w:hAnsiTheme="minorEastAsia" w:eastAsiaTheme="minorEastAsia" w:cstheme="minorEastAsia"/>
          <w:color w:val="auto"/>
          <w:sz w:val="24"/>
        </w:rPr>
        <w:t>就函证事项</w:t>
      </w:r>
      <w:r>
        <w:rPr>
          <w:rFonts w:hint="eastAsia" w:asciiTheme="minorEastAsia" w:hAnsiTheme="minorEastAsia" w:eastAsiaTheme="minorEastAsia" w:cstheme="minorEastAsia"/>
          <w:sz w:val="24"/>
        </w:rPr>
        <w:t>是否勤勉尽责执行审计程序提供证据。同时，注册会计师应当审慎考虑实施函证程序获取的审计证据是否充分、适当、可靠，为发表审计意见提供基础。</w:t>
      </w:r>
    </w:p>
    <w:p w14:paraId="4D275DA5">
      <w:pPr>
        <w:snapToGrid w:val="0"/>
        <w:spacing w:line="360" w:lineRule="auto"/>
        <w:ind w:firstLine="482" w:firstLineChars="200"/>
        <w:outlineLvl w:val="1"/>
        <w:rPr>
          <w:rFonts w:asciiTheme="minorEastAsia" w:hAnsiTheme="minorEastAsia" w:eastAsiaTheme="minorEastAsia" w:cstheme="minorEastAsia"/>
          <w:b/>
          <w:bCs/>
          <w:sz w:val="24"/>
        </w:rPr>
      </w:pPr>
      <w:bookmarkStart w:id="72" w:name="_Toc16758"/>
      <w:bookmarkStart w:id="73" w:name="_Toc6611"/>
      <w:bookmarkStart w:id="74" w:name="_Toc26606"/>
      <w:r>
        <w:rPr>
          <w:rFonts w:hint="eastAsia" w:asciiTheme="minorEastAsia" w:hAnsiTheme="minorEastAsia" w:eastAsiaTheme="minorEastAsia" w:cstheme="minorEastAsia"/>
          <w:b/>
          <w:bCs/>
          <w:sz w:val="24"/>
        </w:rPr>
        <w:t>一、审计记录</w:t>
      </w:r>
      <w:bookmarkEnd w:id="72"/>
      <w:bookmarkEnd w:id="73"/>
      <w:bookmarkEnd w:id="74"/>
    </w:p>
    <w:p w14:paraId="734D29CD">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（一）记录要求</w:t>
      </w:r>
    </w:p>
    <w:p w14:paraId="262AC3C8">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1.存档与索引。</w:t>
      </w:r>
      <w:r>
        <w:rPr>
          <w:rFonts w:asciiTheme="minorEastAsia" w:hAnsiTheme="minorEastAsia" w:eastAsiaTheme="minorEastAsia" w:cstheme="minorEastAsia"/>
          <w:sz w:val="24"/>
        </w:rPr>
        <w:t>所有的回函及函证控制外部证据均应完整存档，并正确建立索引。对于未获回复的询证函，其跟进工作及相关解释也应详细记录。</w:t>
      </w:r>
    </w:p>
    <w:p w14:paraId="0927F65E">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2.详细记录函证过程。</w:t>
      </w:r>
      <w:r>
        <w:rPr>
          <w:rFonts w:asciiTheme="minorEastAsia" w:hAnsiTheme="minorEastAsia" w:eastAsiaTheme="minorEastAsia" w:cstheme="minorEastAsia"/>
          <w:sz w:val="24"/>
        </w:rPr>
        <w:t>将函证样本量的确定过程、收发函的控制全过程、函证结果评价等关键信息详细记录在工作底稿中。</w:t>
      </w:r>
    </w:p>
    <w:p w14:paraId="7B7C62E5">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3.索引号对应。</w:t>
      </w:r>
      <w:r>
        <w:rPr>
          <w:rFonts w:asciiTheme="minorEastAsia" w:hAnsiTheme="minorEastAsia" w:eastAsiaTheme="minorEastAsia" w:cstheme="minorEastAsia"/>
          <w:sz w:val="24"/>
        </w:rPr>
        <w:t>函证形成的各项底稿中所记录的索引号应与审计证据一一对应。例如，函证结果汇总表中的回函索引号应与回函原件的索引号相匹配，收发函控制底稿中记录的索引号也应与支持性证据的索引号一一对应。</w:t>
      </w:r>
    </w:p>
    <w:p w14:paraId="3B6E5FE6">
      <w:pPr>
        <w:snapToGrid w:val="0"/>
        <w:spacing w:line="360" w:lineRule="auto"/>
        <w:ind w:firstLine="482" w:firstLineChars="200"/>
        <w:rPr>
          <w:rFonts w:asciiTheme="minorEastAsia" w:hAnsiTheme="minorEastAsia" w:eastAsiaTheme="minorEastAsia" w:cstheme="minorEastAsia"/>
          <w:sz w:val="24"/>
        </w:rPr>
      </w:pPr>
      <w:r>
        <w:rPr>
          <w:rFonts w:asciiTheme="minorEastAsia" w:hAnsiTheme="minorEastAsia" w:eastAsiaTheme="minorEastAsia" w:cstheme="minorEastAsia"/>
          <w:b/>
          <w:bCs/>
          <w:sz w:val="24"/>
        </w:rPr>
        <w:t>4.审计证据审核。</w:t>
      </w:r>
      <w:r>
        <w:rPr>
          <w:rFonts w:asciiTheme="minorEastAsia" w:hAnsiTheme="minorEastAsia" w:eastAsiaTheme="minorEastAsia" w:cstheme="minorEastAsia"/>
          <w:sz w:val="24"/>
        </w:rPr>
        <w:t>注册会计师应对所获取的审计证据进行认真审核，并形成审核轨迹。</w:t>
      </w:r>
    </w:p>
    <w:p w14:paraId="3B82797C">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（二）记录内容</w:t>
      </w:r>
    </w:p>
    <w:p w14:paraId="2E66D16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cstheme="minorEastAsia"/>
          <w:sz w:val="24"/>
        </w:rPr>
        <w:t>1.</w:t>
      </w:r>
      <w:r>
        <w:rPr>
          <w:rFonts w:hint="eastAsia" w:asciiTheme="minorEastAsia" w:hAnsiTheme="minorEastAsia" w:eastAsiaTheme="minorEastAsia" w:cstheme="minorEastAsia"/>
          <w:sz w:val="24"/>
        </w:rPr>
        <w:t>记录应包括索引编号、函证项目、被询证者信息、发函和回函状态、不符事项说明等。</w:t>
      </w:r>
    </w:p>
    <w:p w14:paraId="006CF467">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2.函证样本的选择依据和样本量。</w:t>
      </w:r>
    </w:p>
    <w:p w14:paraId="10E2539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3.发函和回函的控制记录，包括发函日期、回函日期、发函方式、回函方式等。</w:t>
      </w:r>
    </w:p>
    <w:p w14:paraId="60E53EBE">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4.回函结果的汇总，包括相符和不符的回函数量及其分析。</w:t>
      </w:r>
    </w:p>
    <w:p w14:paraId="5A7F8C53">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5.不符事项的调查记录，包括不符原因、采取的进一步审计程序以及调查结果。</w:t>
      </w:r>
    </w:p>
    <w:p w14:paraId="3E4699F6">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6.实施替代程序的记录，包括替代程序的性质、范围和结果。</w:t>
      </w:r>
    </w:p>
    <w:p w14:paraId="4F36C66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具体工作底稿详见第四章各函证流程“工作底稿”章节。</w:t>
      </w:r>
    </w:p>
    <w:p w14:paraId="624908DA">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75" w:name="_Toc27137"/>
      <w:bookmarkStart w:id="76" w:name="_Toc3671"/>
      <w:bookmarkStart w:id="77" w:name="_Toc6953"/>
      <w:r>
        <w:rPr>
          <w:rFonts w:hint="eastAsia" w:asciiTheme="minorEastAsia" w:hAnsiTheme="minorEastAsia" w:eastAsiaTheme="minorEastAsia" w:cstheme="minorEastAsia"/>
          <w:b/>
          <w:bCs/>
          <w:sz w:val="24"/>
        </w:rPr>
        <w:t>二、审计报告</w:t>
      </w:r>
      <w:bookmarkEnd w:id="75"/>
      <w:bookmarkEnd w:id="76"/>
      <w:bookmarkEnd w:id="77"/>
    </w:p>
    <w:p w14:paraId="2E06D76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审计报告应根据函证结果和</w:t>
      </w:r>
      <w:r>
        <w:rPr>
          <w:rFonts w:hint="eastAsia" w:asciiTheme="minorEastAsia" w:hAnsiTheme="minorEastAsia" w:eastAsiaTheme="minorEastAsia" w:cstheme="minorEastAsia"/>
          <w:color w:val="auto"/>
          <w:sz w:val="24"/>
        </w:rPr>
        <w:t>函证</w:t>
      </w:r>
      <w:r>
        <w:rPr>
          <w:rFonts w:hint="eastAsia" w:asciiTheme="minorEastAsia" w:hAnsiTheme="minorEastAsia" w:eastAsiaTheme="minorEastAsia" w:cstheme="minorEastAsia"/>
          <w:sz w:val="24"/>
        </w:rPr>
        <w:t>证据的充分性、适当性，对被审计单位的财务报表发表审计意见。注册会计师应当对实施函证程序获取的审计证据进行评价，针对</w:t>
      </w:r>
      <w:r>
        <w:rPr>
          <w:rFonts w:hint="eastAsia" w:asciiTheme="minorEastAsia" w:hAnsiTheme="minorEastAsia" w:eastAsiaTheme="minorEastAsia" w:cstheme="minorEastAsia"/>
          <w:color w:val="auto"/>
          <w:sz w:val="24"/>
        </w:rPr>
        <w:t>函证过程中</w:t>
      </w:r>
      <w:r>
        <w:rPr>
          <w:rFonts w:hint="eastAsia" w:asciiTheme="minorEastAsia" w:hAnsiTheme="minorEastAsia" w:eastAsiaTheme="minorEastAsia" w:cstheme="minorEastAsia"/>
          <w:sz w:val="24"/>
        </w:rPr>
        <w:t>发现的重大错报要求管理层进行更正，并考虑未更正错报对财务报表整体的影响程度，为形成审计意见提供基础。同时，在形成审计意见阶段，注册会计师应当考虑包括但不限于下列与函证相关的报告事项：</w:t>
      </w:r>
    </w:p>
    <w:p w14:paraId="6FA82DE9">
      <w:pPr>
        <w:numPr>
          <w:ilvl w:val="0"/>
          <w:numId w:val="9"/>
        </w:num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针对回函不符的情况</w:t>
      </w:r>
    </w:p>
    <w:p w14:paraId="0075331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如果函证的结果证实存在重大错报，注册会计师应当要求管理层更正这些错报，并考虑对财务报表整体的影响程度，分别下列情况在审计报告中进行适当披露：</w:t>
      </w:r>
    </w:p>
    <w:p w14:paraId="5F79F87B">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如果属于与具体金额（包括财务报表附注中的定量披露）相关的重大错报，注册会计师应当在形成审计意见的基础部分说明并量化该错报的财务影响。如果无法量化财务影响，注册会计师应当在该部分说明这一情况。</w:t>
      </w:r>
    </w:p>
    <w:p w14:paraId="15BAE63B">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2.如果属于与应披露而未披露信息相关的重大错报，注册会计师应当与治理层讨论未披露信息的情况，并在形成审计意见的基础部分描述未披露信息的性质。</w:t>
      </w:r>
    </w:p>
    <w:p w14:paraId="374ED5B2">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（二）针对未取得回函的情况</w:t>
      </w:r>
    </w:p>
    <w:p w14:paraId="6879AC2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取得函证回函是获取充分、适当的审计证据的必要程序，则替代程序不能提供注册会计师所需要的审计证据，注册会计师应考虑对审计工作和审计意见的影响。当由于无法获取充分、适当的审计证据而导致发表非无保留意见，注册会计师应当在形成审计意见的基础部分说明无法获取审计证据的原因。如果认为未发现的错报（如存在）对财务报表可能产生的影响重大但不具有广泛性时，注册会计师应当发表保留意见。如果认为未发现的错报（如存在）可能对财务报表产生的影响重大且具有广泛性，以至于发表保留意见不足以反映情况的严重性，注册会计师应当在可行时解除业务约定（除非法律法规禁止），如果在出具审计报告之前解除业务约定被禁止或不可行，应当发表无法表示意见。</w:t>
      </w:r>
    </w:p>
    <w:p w14:paraId="0851CDF6">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（三）针对管理层不允许寄发询证函的情况</w:t>
      </w:r>
    </w:p>
    <w:p w14:paraId="0BA4C309">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如果注册会计师认为管理层不允许寄发询证函的原因不合理，或实施替代程序无法获取相关、可靠的审计证据，则应考虑与治理层进行沟通以及确定对审计工作和审计意见的影响。当由于无法获取充分、适当的审计证据而导致发表非无保留意见，注册会计师应当在形成审计意见的基础部分说明无法获取审计证据的原因。如果认为未发现的错报（如存在）对财务报表可能产生的影响重大但不具有广泛性时，注册会计师应当发表保留意见。如果认为未发现的错报（如存在）可能对财务报表产生的影响重大且具有广泛性，以至于发表保留意见不足以反映情况的严重性，注册会计师应当在可行时解除业务约定（除非法律法规禁止），如果在出具审计报告之前解除业务约定被禁止或不可行，应当发表无法表示意见。</w:t>
      </w:r>
    </w:p>
    <w:p w14:paraId="21A9B742">
      <w:pPr>
        <w:spacing w:line="240" w:lineRule="auto"/>
        <w:ind w:firstLine="0" w:firstLineChars="0"/>
        <w:rPr>
          <w:rFonts w:asciiTheme="minorEastAsia" w:hAnsiTheme="minorEastAsia" w:cstheme="minorEastAsia"/>
          <w:sz w:val="24"/>
        </w:rPr>
      </w:pPr>
      <w:r>
        <w:rPr>
          <w:rFonts w:hint="eastAsia" w:asciiTheme="minorEastAsia" w:hAnsiTheme="minorEastAsia" w:cstheme="minorEastAsia"/>
          <w:sz w:val="24"/>
        </w:rPr>
        <w:br w:type="page"/>
      </w:r>
    </w:p>
    <w:p w14:paraId="1E7DBCDE">
      <w:pPr>
        <w:spacing w:line="360" w:lineRule="auto"/>
        <w:jc w:val="center"/>
        <w:outlineLvl w:val="0"/>
        <w:rPr>
          <w:rFonts w:ascii="方正小标宋简体" w:hAnsi="方正小标宋简体" w:eastAsia="方正小标宋简体" w:cs="方正小标宋简体"/>
          <w:sz w:val="30"/>
          <w:szCs w:val="30"/>
        </w:rPr>
      </w:pPr>
      <w:bookmarkStart w:id="78" w:name="_Toc19660"/>
      <w:r>
        <w:rPr>
          <w:rFonts w:hint="eastAsia" w:ascii="方正小标宋简体" w:hAnsi="方正小标宋简体" w:eastAsia="方正小标宋简体" w:cs="方正小标宋简体"/>
          <w:sz w:val="30"/>
          <w:szCs w:val="30"/>
        </w:rPr>
        <w:t>第六章  银行函证和企业往来函证外其他事项函证的特殊考虑</w:t>
      </w:r>
      <w:bookmarkEnd w:id="78"/>
    </w:p>
    <w:p w14:paraId="75767C50">
      <w:pPr>
        <w:numPr>
          <w:ilvl w:val="255"/>
          <w:numId w:val="0"/>
        </w:numPr>
        <w:snapToGrid w:val="0"/>
        <w:spacing w:line="360" w:lineRule="auto"/>
        <w:outlineLvl w:val="9"/>
        <w:rPr>
          <w:rFonts w:asciiTheme="minorEastAsia" w:hAnsiTheme="minorEastAsia" w:eastAsiaTheme="minorEastAsia" w:cstheme="minorEastAsia"/>
          <w:b/>
          <w:bCs/>
          <w:sz w:val="24"/>
        </w:rPr>
      </w:pPr>
    </w:p>
    <w:p w14:paraId="7440A711">
      <w:pPr>
        <w:snapToGrid w:val="0"/>
        <w:spacing w:line="360" w:lineRule="auto"/>
        <w:ind w:firstLine="482" w:firstLineChars="20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第一节</w:t>
      </w:r>
      <w:r>
        <w:rPr>
          <w:rFonts w:hint="eastAsia" w:asciiTheme="minorEastAsia" w:hAnsiTheme="minorEastAsia" w:cstheme="minorEastAsia"/>
          <w:b/>
          <w:bCs/>
          <w:sz w:val="24"/>
        </w:rPr>
        <w:t xml:space="preserve">  </w:t>
      </w:r>
      <w:r>
        <w:rPr>
          <w:rFonts w:hint="eastAsia" w:asciiTheme="minorEastAsia" w:hAnsiTheme="minorEastAsia" w:eastAsiaTheme="minorEastAsia" w:cstheme="minorEastAsia"/>
          <w:b/>
          <w:bCs/>
          <w:sz w:val="24"/>
        </w:rPr>
        <w:t>其他事项函证程序的特殊考虑</w:t>
      </w:r>
    </w:p>
    <w:p w14:paraId="6349DD78">
      <w:pPr>
        <w:snapToGrid w:val="0"/>
        <w:spacing w:line="360" w:lineRule="auto"/>
        <w:ind w:firstLine="480" w:firstLineChars="200"/>
        <w:rPr>
          <w:rFonts w:asciiTheme="minorEastAsia" w:hAnsiTheme="minorEastAsia" w:cstheme="minorEastAsia"/>
          <w:sz w:val="24"/>
        </w:rPr>
      </w:pPr>
    </w:p>
    <w:p w14:paraId="40520C9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除了常见的银行函证和企业往来函证外，对其他事项的函证也具有重要意义，</w:t>
      </w:r>
      <w:r>
        <w:rPr>
          <w:rFonts w:hint="eastAsia" w:asciiTheme="minorEastAsia" w:hAnsiTheme="minorEastAsia" w:eastAsiaTheme="minorEastAsia" w:cstheme="minorEastAsia"/>
          <w:color w:val="auto"/>
          <w:sz w:val="24"/>
        </w:rPr>
        <w:t>其他事项包括但不限于投资、贷款、发出商品、收入、采购、完工进度等，</w:t>
      </w:r>
      <w:r>
        <w:rPr>
          <w:rFonts w:hint="eastAsia" w:asciiTheme="minorEastAsia" w:hAnsiTheme="minorEastAsia" w:eastAsiaTheme="minorEastAsia" w:cstheme="minorEastAsia"/>
          <w:sz w:val="24"/>
        </w:rPr>
        <w:t>由于这些事项的多样性和复杂性，在函证过程中需要注册会计师给予特殊的关注和考虑，以确保审计证据的可靠性和充分性。本章仅以个别其他事项举例分析，更多的内容可详见“附录</w:t>
      </w:r>
      <w:r>
        <w:rPr>
          <w:rFonts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rPr>
        <w:t>常用询证函格式模板”的说明。</w:t>
      </w:r>
    </w:p>
    <w:p w14:paraId="0D804718">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79" w:name="_Toc7328"/>
      <w:bookmarkStart w:id="80" w:name="_Toc27645"/>
      <w:bookmarkStart w:id="81" w:name="_Toc1496"/>
      <w:r>
        <w:rPr>
          <w:rFonts w:hint="eastAsia" w:asciiTheme="minorEastAsia" w:hAnsiTheme="minorEastAsia" w:eastAsiaTheme="minorEastAsia" w:cstheme="minorEastAsia"/>
          <w:b/>
          <w:bCs/>
          <w:sz w:val="24"/>
        </w:rPr>
        <w:t>一、</w:t>
      </w:r>
      <w:r>
        <w:rPr>
          <w:rFonts w:hint="eastAsia" w:asciiTheme="minorEastAsia" w:hAnsiTheme="minorEastAsia" w:eastAsiaTheme="minorEastAsia" w:cstheme="minorEastAsia"/>
          <w:b/>
          <w:bCs/>
          <w:color w:val="auto"/>
          <w:sz w:val="24"/>
        </w:rPr>
        <w:t>其他事项</w:t>
      </w:r>
      <w:r>
        <w:rPr>
          <w:rFonts w:hint="eastAsia" w:asciiTheme="minorEastAsia" w:hAnsiTheme="minorEastAsia" w:eastAsiaTheme="minorEastAsia" w:cstheme="minorEastAsia"/>
          <w:b/>
          <w:bCs/>
          <w:sz w:val="24"/>
        </w:rPr>
        <w:t>函证的特殊考虑</w:t>
      </w:r>
      <w:bookmarkEnd w:id="79"/>
      <w:bookmarkEnd w:id="80"/>
      <w:bookmarkEnd w:id="81"/>
    </w:p>
    <w:p w14:paraId="6C45BA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在确定函证其他事项前，注册会计师需要对审计业务中涉及的各类函证事项进行全面梳理，识别出那些不同于常规银行和企业往来业务的其他函证事项。</w:t>
      </w:r>
    </w:p>
    <w:p w14:paraId="4C215554">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（一）函证内容的特殊</w:t>
      </w:r>
      <w:r>
        <w:rPr>
          <w:rFonts w:hint="eastAsia" w:asciiTheme="minorEastAsia" w:hAnsiTheme="minorEastAsia" w:eastAsiaTheme="minorEastAsia" w:cstheme="minorEastAsia"/>
          <w:b/>
          <w:bCs/>
          <w:color w:val="auto"/>
          <w:sz w:val="24"/>
        </w:rPr>
        <w:t>考虑</w:t>
      </w:r>
    </w:p>
    <w:p w14:paraId="3E344A2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针对不同类型的事项，函证内容的设计应具有针对性，以适应其各自的特点和审计要求。例如：</w:t>
      </w:r>
    </w:p>
    <w:p w14:paraId="61C42DB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长期股权投资，函证内容可能涵盖投资的初始成本、追加投资情况、股权比例变动、被投资单位的盈利状况及分红政策、是否存在影响投资价值的重大事项（如被投资单位面临的重大经营风险、法律纠纷等）。对拥有多项长期股权投资的企业进行审计时，注册会计师需要针对每一项投资，详细设计函证内容，确保获取关于投资的全面信息。</w:t>
      </w:r>
      <w:r>
        <w:rPr>
          <w:rFonts w:asciiTheme="minorEastAsia" w:hAnsiTheme="minorEastAsia" w:eastAsiaTheme="minorEastAsia" w:cstheme="minorEastAsia"/>
          <w:sz w:val="24"/>
        </w:rPr>
        <w:t xml:space="preserve"> </w:t>
      </w:r>
    </w:p>
    <w:p w14:paraId="0319747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或有负债，函证应重点关注潜在负债的性质、金额范围、可能的发生概率以及相关方的确认情况。如在涉及未决诉讼的函证中，需要向律师事务所了解诉讼的进展、预计赔偿金额以及对方诉求等详细信息，以准确评估企业可能面临的财务风险。</w:t>
      </w:r>
    </w:p>
    <w:p w14:paraId="09E7C69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在关联方交易函证中，应着重询问交易的定价政策是否符合市场规则、交易的真实性及必要性、是否存在未披露的关联关系或交易等内容。</w:t>
      </w:r>
    </w:p>
    <w:p w14:paraId="1323B9DC">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（二）函证对象的特殊考虑</w:t>
      </w:r>
    </w:p>
    <w:p w14:paraId="4A6029D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除了常规的交易对手方外，对于其他事项可能需要向更多的相关方进行函证。例如：</w:t>
      </w:r>
    </w:p>
    <w:p w14:paraId="6E07162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在长期股权投资函证中，除了向被投资单位发函外，还可能需要向被投资单位的审计师、律师或其他重要利益相关者获取信息，以相互印证。</w:t>
      </w:r>
      <w:r>
        <w:rPr>
          <w:rFonts w:asciiTheme="minorEastAsia" w:hAnsiTheme="minorEastAsia" w:eastAsiaTheme="minorEastAsia" w:cstheme="minorEastAsia"/>
          <w:sz w:val="24"/>
        </w:rPr>
        <w:t xml:space="preserve"> </w:t>
      </w:r>
    </w:p>
    <w:p w14:paraId="394A97F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或有负债，函证对象可能包括律师事务所、法院、潜在的债权人和其他可能知晓相关情况的第三方。如在涉及担保责任的函证中，需要向担保受益方了解担保的具体条款和履行情况，向律师咨询法律责任的界定等。</w:t>
      </w:r>
      <w:r>
        <w:rPr>
          <w:rFonts w:asciiTheme="minorEastAsia" w:hAnsiTheme="minorEastAsia" w:eastAsiaTheme="minorEastAsia" w:cstheme="minorEastAsia"/>
          <w:sz w:val="24"/>
        </w:rPr>
        <w:t xml:space="preserve"> </w:t>
      </w:r>
    </w:p>
    <w:p w14:paraId="2DC3893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在关联方交易函证中，除了直接的关联方企业外，还可能涉及关联方的关键管理人员、控股股东或实际控制人等，以获取关于交易决策和利益输送等方面的信息。</w:t>
      </w:r>
      <w:r>
        <w:rPr>
          <w:rFonts w:asciiTheme="minorEastAsia" w:hAnsiTheme="minorEastAsia" w:eastAsiaTheme="minorEastAsia" w:cstheme="minorEastAsia"/>
          <w:sz w:val="24"/>
        </w:rPr>
        <w:t xml:space="preserve"> </w:t>
      </w:r>
    </w:p>
    <w:p w14:paraId="7CCA6214">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此外，对于一些其他事项，可能还需要结合其他审计程序来进行函证。如在调查关联方交易时，除了函证外，还可能需要进行实地走访、检查相关合同和文件、分析交易的商业合理性等程序，以全面核实交易的真实性和合规性。</w:t>
      </w:r>
      <w:r>
        <w:rPr>
          <w:rFonts w:asciiTheme="minorEastAsia" w:hAnsiTheme="minorEastAsia" w:eastAsiaTheme="minorEastAsia" w:cstheme="minorEastAsia"/>
          <w:sz w:val="24"/>
        </w:rPr>
        <w:t xml:space="preserve"> </w:t>
      </w:r>
    </w:p>
    <w:p w14:paraId="42B0831C">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82" w:name="_Toc14562"/>
      <w:bookmarkStart w:id="83" w:name="_Toc11736"/>
      <w:bookmarkStart w:id="84" w:name="_Toc32290"/>
      <w:r>
        <w:rPr>
          <w:rFonts w:hint="eastAsia" w:asciiTheme="minorEastAsia" w:hAnsiTheme="minorEastAsia" w:eastAsiaTheme="minorEastAsia" w:cstheme="minorEastAsia"/>
          <w:b/>
          <w:bCs/>
          <w:sz w:val="24"/>
        </w:rPr>
        <w:t>二、</w:t>
      </w:r>
      <w:r>
        <w:rPr>
          <w:rFonts w:hint="eastAsia" w:asciiTheme="minorEastAsia" w:hAnsiTheme="minorEastAsia" w:eastAsiaTheme="minorEastAsia" w:cstheme="minorEastAsia"/>
          <w:b/>
          <w:bCs/>
          <w:color w:val="auto"/>
          <w:sz w:val="24"/>
        </w:rPr>
        <w:t>其他事项函证过程的特殊控制</w:t>
      </w:r>
      <w:bookmarkEnd w:id="82"/>
      <w:bookmarkEnd w:id="83"/>
      <w:bookmarkEnd w:id="84"/>
      <w:r>
        <w:rPr>
          <w:rFonts w:asciiTheme="minorEastAsia" w:hAnsiTheme="minorEastAsia" w:eastAsiaTheme="minorEastAsia" w:cstheme="minorEastAsia"/>
          <w:b/>
          <w:bCs/>
          <w:sz w:val="24"/>
        </w:rPr>
        <w:t xml:space="preserve"> </w:t>
      </w:r>
    </w:p>
    <w:p w14:paraId="4E16650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函证其他事项时，注册会计师同样需要对函证过程进行严格控制，以保障函证程序的独立性、准确性和可靠性。</w:t>
      </w:r>
      <w:r>
        <w:rPr>
          <w:rFonts w:asciiTheme="minorEastAsia" w:hAnsiTheme="minorEastAsia" w:eastAsiaTheme="minorEastAsia" w:cstheme="minorEastAsia"/>
          <w:sz w:val="24"/>
        </w:rPr>
        <w:t xml:space="preserve"> </w:t>
      </w:r>
    </w:p>
    <w:p w14:paraId="66E470EC">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（一）发函前的特殊准备</w:t>
      </w:r>
    </w:p>
    <w:p w14:paraId="2B790F7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会计师需要更加深入地了解其他事项的背景和细节，以便准确设计函证内容和选择合适的函证对象。例如，在对一项复杂的长期股权投资进行函证前，注册会计师要详细研究投资协议、被投资单位的公司章程、历年财务报表以及近期的重大经营决策等文件，确保函证问题具有针对性和有效性。</w:t>
      </w:r>
    </w:p>
    <w:p w14:paraId="6B9608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函证对象的联系方式，要进行更加严格的核实。由于其他事项的函证对象可能较为多样化，其联系方式的准确性更为关键。例如，在向律师事务所发函时，要确保函证寄送至正确的律师或负责相关业务的团队，避免因地址错误或信息不准确导致函证失败。</w:t>
      </w:r>
    </w:p>
    <w:p w14:paraId="3275BF0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准备函证文件时，除了常规的询证函格式要求外，对于其他事项可能需要提供更多的背景资料或说明，以帮助函证对象准确理解函证目的和要求。例如，在函证涉及复杂金融工具的交易时，附上交易结构示意图、相关合同条款摘要等资料，便于函证对象回复。</w:t>
      </w:r>
      <w:r>
        <w:rPr>
          <w:rFonts w:asciiTheme="minorEastAsia" w:hAnsiTheme="minorEastAsia" w:eastAsiaTheme="minorEastAsia" w:cstheme="minorEastAsia"/>
          <w:sz w:val="24"/>
        </w:rPr>
        <w:t xml:space="preserve"> </w:t>
      </w:r>
    </w:p>
    <w:p w14:paraId="0D50811E">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（二）回函的特殊处理与控制</w:t>
      </w:r>
    </w:p>
    <w:p w14:paraId="12A847C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到回函后，注册会计师要更加仔细地核对回函的真实性和完整性。对于其他事项的回函，可能涉及复杂的业务内容和专业术语，需要注册会计师具备更强的专业判断能力来评估回函的可靠性。例如，在收到关于长期股权投资估值调整的回函时，注册会计师要深入分析回函中提供的估值方法、假设条件和数据来源，判断其合理性和准确性。</w:t>
      </w:r>
      <w:r>
        <w:rPr>
          <w:rFonts w:asciiTheme="minorEastAsia" w:hAnsiTheme="minorEastAsia" w:eastAsiaTheme="minorEastAsia" w:cstheme="minorEastAsia"/>
          <w:sz w:val="24"/>
        </w:rPr>
        <w:t xml:space="preserve"> </w:t>
      </w:r>
    </w:p>
    <w:p w14:paraId="12A2BEF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注回函的格式和内容是否符合预期。其他事项的函证回复可能因函证对象的不同而具有不同的格式要求，但无论何种格式，都应确保回函能够清晰、准确地回答函证问题。如果回函内容模糊不清或存在歧义，注册会计师应及时与函证对象沟通，要求其进一步解释或澄清。</w:t>
      </w:r>
      <w:r>
        <w:rPr>
          <w:rFonts w:asciiTheme="minorEastAsia" w:hAnsiTheme="minorEastAsia" w:eastAsiaTheme="minorEastAsia" w:cstheme="minorEastAsia"/>
          <w:sz w:val="24"/>
        </w:rPr>
        <w:t xml:space="preserve"> </w:t>
      </w:r>
    </w:p>
    <w:p w14:paraId="4A3890E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回函中的异常情况，要进行深入调查和分析。其他事项本身的复杂性使得回函异常情况可能蕴含更大的审计风险。例如，在收到关于或有负债的回函中，若发现函证对象对潜在赔偿金额的估计与注册会计师的预期存在重大差异，注册会计师应立即展开调查，可能需要进一步向其他相关方求证或获取更多的证据，以确定差异的原因和对财务报表的影响。</w:t>
      </w:r>
      <w:r>
        <w:rPr>
          <w:rFonts w:asciiTheme="minorEastAsia" w:hAnsiTheme="minorEastAsia" w:eastAsiaTheme="minorEastAsia" w:cstheme="minorEastAsia"/>
          <w:sz w:val="24"/>
        </w:rPr>
        <w:t xml:space="preserve"> </w:t>
      </w:r>
    </w:p>
    <w:p w14:paraId="3771FE99">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85" w:name="_Toc4850"/>
      <w:bookmarkStart w:id="86" w:name="_Toc11078"/>
      <w:bookmarkStart w:id="87" w:name="_Toc25924"/>
      <w:r>
        <w:rPr>
          <w:rFonts w:hint="eastAsia" w:asciiTheme="minorEastAsia" w:hAnsiTheme="minorEastAsia" w:eastAsiaTheme="minorEastAsia" w:cstheme="minorEastAsia"/>
          <w:b/>
          <w:bCs/>
          <w:sz w:val="24"/>
        </w:rPr>
        <w:t>三、其他事项函证结果的评价与审计报告的影响</w:t>
      </w:r>
      <w:bookmarkEnd w:id="85"/>
      <w:bookmarkEnd w:id="86"/>
      <w:bookmarkEnd w:id="87"/>
      <w:r>
        <w:rPr>
          <w:rFonts w:asciiTheme="minorEastAsia" w:hAnsiTheme="minorEastAsia" w:eastAsiaTheme="minorEastAsia" w:cstheme="minorEastAsia"/>
          <w:b/>
          <w:bCs/>
          <w:sz w:val="24"/>
        </w:rPr>
        <w:t xml:space="preserve"> </w:t>
      </w:r>
    </w:p>
    <w:p w14:paraId="047A9C8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函证其他事项的结果评价需要综合考虑多方面因素，并且其结果可能对审计报告产生重要影响。</w:t>
      </w:r>
      <w:r>
        <w:rPr>
          <w:rFonts w:asciiTheme="minorEastAsia" w:hAnsiTheme="minorEastAsia" w:eastAsiaTheme="minorEastAsia" w:cstheme="minorEastAsia"/>
          <w:sz w:val="24"/>
        </w:rPr>
        <w:t xml:space="preserve"> </w:t>
      </w:r>
    </w:p>
    <w:p w14:paraId="7AF80916">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（一）函证结果的综合评价</w:t>
      </w:r>
    </w:p>
    <w:p w14:paraId="2F0C6445">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注册会计师要将函证结果与其他审计证据进行相互印证。其他事项的审计往往需要多种审计程序共同提供证据支持，函证结果应与通过检查文件、实地观察、分析程序等获取的证据相一致。例如，在评估长期股权投资的价值时，函证获取的被投资单位财务数据应与注册会计师通过分析被投资单位公开财务报表、行业趋势等得到的结论相符合。如果存在差异，需要进一步调查原因，判断是函证过程中的问题还是其他审计程序存在漏洞。 </w:t>
      </w:r>
    </w:p>
    <w:p w14:paraId="0E3C77F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考虑函证结果对其他事项认定的影响。对于其他事项，函证结果可能直接影响到相关会计科目的确认、计量和披露。例如，在核实或有负债的函证中，如果函证结果表明潜在负债的金额和可能性发生重大变化，注册会计师需要重新评估企业对或有负债的会计处理是否恰当，是否需要调整财务报表中的相关项目。</w:t>
      </w:r>
      <w:r>
        <w:rPr>
          <w:rFonts w:asciiTheme="minorEastAsia" w:hAnsiTheme="minorEastAsia" w:eastAsiaTheme="minorEastAsia" w:cstheme="minorEastAsia"/>
          <w:sz w:val="24"/>
        </w:rPr>
        <w:t xml:space="preserve"> </w:t>
      </w:r>
    </w:p>
    <w:p w14:paraId="0E12F4C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析函证结果中的不确定性因素。其他事项本身可能存在较多的不确定性，函证结果可能无法完全消除这些不确定性。注册会计师需要评估这些不确定性对审计意见的影响程度。例如，在涉及重大资产重组的函证中，如果函证对象对交易条款和资产价值的回复存在一定的模糊性或不确定性，注册会计师要谨慎判断这种不确定性是否会导致财务报表使用者对企业财务状况和经营成果产生重大误解，进而考虑是否需要在审计报告中进行适当的披露。</w:t>
      </w:r>
      <w:r>
        <w:rPr>
          <w:rFonts w:asciiTheme="minorEastAsia" w:hAnsiTheme="minorEastAsia" w:eastAsiaTheme="minorEastAsia" w:cstheme="minorEastAsia"/>
          <w:sz w:val="24"/>
        </w:rPr>
        <w:t xml:space="preserve"> </w:t>
      </w:r>
    </w:p>
    <w:p w14:paraId="0D4FDA65">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（二）对审计报告的影响</w:t>
      </w:r>
    </w:p>
    <w:p w14:paraId="22F1076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函证结果表明其他事项存在重大错报风险，且无法通过进一步审计程序获取充分、适当的审计证据，注册会计师可能需要考虑发表保留意见或无法表示意见的审计报告。例如，在对关联方交易的函证中，如果发现存在大量未披露的关联方交易且无法核实其对财务报表的影响，注册会计师可能会因审计范围受限而无法对财务报表发表无保留意见。</w:t>
      </w:r>
      <w:r>
        <w:rPr>
          <w:rFonts w:asciiTheme="minorEastAsia" w:hAnsiTheme="minorEastAsia" w:eastAsiaTheme="minorEastAsia" w:cstheme="minorEastAsia"/>
          <w:sz w:val="24"/>
        </w:rPr>
        <w:t xml:space="preserve"> </w:t>
      </w:r>
    </w:p>
    <w:p w14:paraId="5AD9767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即使函证结果未发现重大问题，注册会计师仍需根据其他事项的重要性和性质，在审计报告中进行适当的披露。例如，对于重大的长期股权投资，即使函证结果确认了投资的基本情况，但如果投资存在潜在风险（如被投资单位所在行业面临重大变革等），注册会计师可能需要在审计报告的附注中披露相关风险信息，以提醒财务报表使用者关注。</w:t>
      </w:r>
    </w:p>
    <w:p w14:paraId="7098B9A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函证过程中发现的其他事项相关的内部控制缺陷，注册会计师也应在审计报告中进行披露（如适用），并提出改进建议。这有助于企业完善内部控制制度，提高财务报告的质量。例如，如果在函证关联方交易过程中发现企业的关联交易审批流程存在漏洞，注册会计师应在审计报告中指出该问题，并建议企业加强内部控制，规范关联交易管理。</w:t>
      </w:r>
      <w:r>
        <w:rPr>
          <w:rFonts w:asciiTheme="minorEastAsia" w:hAnsiTheme="minorEastAsia" w:eastAsiaTheme="minorEastAsia" w:cstheme="minorEastAsia"/>
          <w:sz w:val="24"/>
        </w:rPr>
        <w:t xml:space="preserve"> </w:t>
      </w:r>
    </w:p>
    <w:p w14:paraId="5446D80B">
      <w:pPr>
        <w:snapToGrid w:val="0"/>
        <w:spacing w:before="156" w:beforeLines="50" w:after="156" w:afterLines="50" w:line="360" w:lineRule="auto"/>
        <w:ind w:firstLine="482" w:firstLineChars="200"/>
        <w:outlineLvl w:val="1"/>
        <w:rPr>
          <w:rFonts w:asciiTheme="minorEastAsia" w:hAnsiTheme="minorEastAsia" w:eastAsiaTheme="minorEastAsia" w:cstheme="minorEastAsia"/>
          <w:b/>
          <w:bCs/>
          <w:sz w:val="24"/>
        </w:rPr>
      </w:pPr>
      <w:bookmarkStart w:id="88" w:name="_Toc26012"/>
      <w:bookmarkStart w:id="89" w:name="_Toc24099"/>
      <w:bookmarkStart w:id="90" w:name="_Toc17959"/>
      <w:r>
        <w:rPr>
          <w:rFonts w:hint="eastAsia" w:asciiTheme="minorEastAsia" w:hAnsiTheme="minorEastAsia" w:eastAsiaTheme="minorEastAsia" w:cstheme="minorEastAsia"/>
          <w:b/>
          <w:bCs/>
          <w:sz w:val="24"/>
        </w:rPr>
        <w:t>四、工作底稿记录</w:t>
      </w:r>
      <w:r>
        <w:rPr>
          <w:rFonts w:hint="eastAsia" w:asciiTheme="minorEastAsia" w:hAnsiTheme="minorEastAsia" w:eastAsiaTheme="minorEastAsia" w:cstheme="minorEastAsia"/>
          <w:b/>
          <w:bCs/>
          <w:color w:val="auto"/>
          <w:sz w:val="24"/>
        </w:rPr>
        <w:t>的特殊要求</w:t>
      </w:r>
      <w:bookmarkEnd w:id="88"/>
      <w:bookmarkEnd w:id="89"/>
      <w:bookmarkEnd w:id="90"/>
      <w:r>
        <w:rPr>
          <w:rFonts w:asciiTheme="minorEastAsia" w:hAnsiTheme="minorEastAsia" w:eastAsiaTheme="minorEastAsia" w:cstheme="minorEastAsia"/>
          <w:b/>
          <w:bCs/>
          <w:sz w:val="24"/>
        </w:rPr>
        <w:t xml:space="preserve"> </w:t>
      </w:r>
    </w:p>
    <w:p w14:paraId="32E1823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针对其他事项的函证，工作底稿的记录应更加详细和全面，以反映函证过程的复杂性和特殊性。</w:t>
      </w:r>
      <w:r>
        <w:rPr>
          <w:rFonts w:asciiTheme="minorEastAsia" w:hAnsiTheme="minorEastAsia" w:eastAsiaTheme="minorEastAsia" w:cstheme="minorEastAsia"/>
          <w:sz w:val="24"/>
        </w:rPr>
        <w:t xml:space="preserve"> </w:t>
      </w:r>
    </w:p>
    <w:p w14:paraId="096FFBD9">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（一）记录其他事项的背景和细节</w:t>
      </w:r>
    </w:p>
    <w:p w14:paraId="2FE7C04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工作底稿中详细阐述其他事项的性质、产生原因、对财务报表的潜在影响等背景信息。例如，对长期股权投资函证，针对函证内容的确定依据，要记录如何根据投资协议、会计准则以及审计目标来确定需要函证的关键信息，如被投资企业的财务报表数据（资产、负债、所有者权益、收入、利润等）、重大经营决策（如重大投资、融资活动、资产重组等）对长期股权投资价值的影响、是否存在潜在的股权纠纷或其他影响投资权益的事项等。例如根据权益法核算的要求，确定需要函证被投资企业的净利润及其他综合收益等数据，在工作底稿中记录企业对会计政策和估计的选择依据、计算过程以及与相关准则的符合程度，以便准确计算投资企业应享有的份额。</w:t>
      </w:r>
    </w:p>
    <w:p w14:paraId="1E150A10">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（二）函证程序设计与执行的记录</w:t>
      </w:r>
    </w:p>
    <w:p w14:paraId="596DD0C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细记录函证程序针对其他事项的设计思路，包括函证内容的确定依据、函证对象的选择理由以及函证方式的选择考虑因素等。例如，在对重大资产重组事项进行函证时，记录为何选择向交易对方、中介机构以及相关监管部门等不同对象发函，以及针对不同对象设计不同函证内容的原因，体现函证程序设计的针对性和合理性。</w:t>
      </w:r>
      <w:r>
        <w:rPr>
          <w:rFonts w:asciiTheme="minorEastAsia" w:hAnsiTheme="minorEastAsia" w:eastAsiaTheme="minorEastAsia" w:cstheme="minorEastAsia"/>
          <w:sz w:val="24"/>
        </w:rPr>
        <w:t xml:space="preserve"> </w:t>
      </w:r>
    </w:p>
    <w:p w14:paraId="6F46068A">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（三）函证结果的记录与分析</w:t>
      </w:r>
    </w:p>
    <w:p w14:paraId="0ABE904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实记录函证结果的具体内容，对于回函中的关键信息、数据和意见进行详细摘录。对于其他事项的函证结果，可能需要以图表、表格或其他直观的方式进行整理和呈现，以便更好地进行分析和比较。例如，在记录长期股权投资的函证结果时，可以制作表格对比被投资单位回复的财务数据与企业账面记录的数据差异，并对差异原因进行初步分析。</w:t>
      </w:r>
    </w:p>
    <w:p w14:paraId="74D0A7A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入分析函证结果与预期的差异及其原因，记录注册会计师针对这些差异所采取的进一步审计程序及其结果。对于其他事项函证中发现的异常情况，如回函中的矛盾信息、不完整回复或疑似舞弊迹象等，要详细记录调查过程和结果，包括与函证对象的沟通情况、获取的其他证据以及最终的结论。例如，在调查关联方交易函证中的异常价格情况时，记录与关联方和企业管理层的沟通内容、查阅的相关合同和市场调研报告以及对交易价格合理性的判断依据。</w:t>
      </w:r>
      <w:r>
        <w:rPr>
          <w:rFonts w:asciiTheme="minorEastAsia" w:hAnsiTheme="minorEastAsia" w:eastAsiaTheme="minorEastAsia" w:cstheme="minorEastAsia"/>
          <w:sz w:val="24"/>
        </w:rPr>
        <w:t xml:space="preserve"> </w:t>
      </w:r>
    </w:p>
    <w:p w14:paraId="370BEC2C">
      <w:pPr>
        <w:snapToGrid w:val="0"/>
        <w:spacing w:line="360" w:lineRule="auto"/>
        <w:ind w:firstLine="482" w:firstLineChars="200"/>
        <w:outlineLvl w:val="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（四）与其他审计程序的关联记录</w:t>
      </w:r>
    </w:p>
    <w:p w14:paraId="560BCCD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工作底稿中，记录长期股权投资函证与其他审计程序之间的相互关系和印证情况。例如，在对长期股权投资进行函证的同时，可能实施了分析程序，如对比被投资企业的财务指标与同行业平均水平、分析投资收益的合理性等；实施了检查程序，如检查投资协议、被投资企业的公司章程、董事会决议、验资报告、股权变更记录等文件；实施了实地观察程序，如观察被投资企业的生产经营状况、资产状况等。工作底稿中应记录这些程序之间的协同作用以及如何相互补充和验证。例如，通过函证获取的被投资企业财务数据与通过分析程序得出的结论是否相互印证，检查程序发现的投资协议中的特殊条款是否与函证结果中关于利润分配的说明一致，实地观察到的被投资企业生产经营状况是否支持函证结果中关于企业经营情况的描述等。</w:t>
      </w:r>
    </w:p>
    <w:p w14:paraId="716D2DAD">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记录函证结果对其他审计程序的影响，以及根据函证结果调整或追加其他审计程序的情况。如果函证发现长期股权投资存在潜在减值迹象，注册会计师应记录如何根据这一情况调整资产减值测试的假设和参数，重新计算长期股权投资的可收回金额，并与账面价值进行比较，确定是否需要计提减值准备以及计提的金额，同时记录这一调整对投资企业财务报表中资产、利润等项目的影响。</w:t>
      </w:r>
    </w:p>
    <w:p w14:paraId="4FBB2C07">
      <w:pPr>
        <w:snapToGrid w:val="0"/>
        <w:spacing w:line="360" w:lineRule="auto"/>
        <w:ind w:firstLine="480" w:firstLineChars="200"/>
        <w:rPr>
          <w:rFonts w:asciiTheme="minorEastAsia" w:hAnsiTheme="minorEastAsia" w:eastAsiaTheme="minorEastAsia" w:cstheme="minorEastAsia"/>
          <w:sz w:val="24"/>
        </w:rPr>
      </w:pPr>
    </w:p>
    <w:p w14:paraId="5FFE01F9">
      <w:pPr>
        <w:snapToGrid w:val="0"/>
        <w:spacing w:line="360" w:lineRule="auto"/>
        <w:ind w:firstLine="482"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第二节</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第三方支付平台函证的特殊考虑</w:t>
      </w:r>
    </w:p>
    <w:p w14:paraId="7AAA7702">
      <w:pPr>
        <w:snapToGrid w:val="0"/>
        <w:spacing w:line="360" w:lineRule="auto"/>
        <w:ind w:firstLine="480" w:firstLineChars="200"/>
        <w:rPr>
          <w:rFonts w:asciiTheme="minorEastAsia" w:hAnsiTheme="minorEastAsia" w:cstheme="minorEastAsia"/>
          <w:sz w:val="24"/>
        </w:rPr>
      </w:pPr>
    </w:p>
    <w:p w14:paraId="7910B94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着企业数字化结算的普及，支付宝、微信支付等第三方支付平台已成为高频交易渠道。此类平台的资金流与传统银行账户存在差异，其函证方式需结合平台特性设计针对性程序。本节以支付宝为例，说明审计实务中的操作要点及特殊考虑。</w:t>
      </w:r>
      <w:r>
        <w:rPr>
          <w:rFonts w:asciiTheme="minorEastAsia" w:hAnsiTheme="minorEastAsia" w:eastAsiaTheme="minorEastAsia" w:cstheme="minorEastAsia"/>
          <w:sz w:val="24"/>
        </w:rPr>
        <w:t xml:space="preserve">  </w:t>
      </w:r>
    </w:p>
    <w:p w14:paraId="70D82018">
      <w:pPr>
        <w:snapToGrid w:val="0"/>
        <w:spacing w:before="156" w:beforeLines="50" w:after="156" w:afterLines="50"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 xml:space="preserve"> 一、第三方支付平台函证的核心挑战  </w:t>
      </w:r>
    </w:p>
    <w:p w14:paraId="53426786">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（一）函证渠道非标准化</w:t>
      </w:r>
    </w:p>
    <w:p w14:paraId="25F9A20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多数平台未提供传统纸质询证函回函服务，需通过线上自助获取电子凭证。</w:t>
      </w:r>
      <w:r>
        <w:rPr>
          <w:rFonts w:asciiTheme="minorEastAsia" w:hAnsiTheme="minorEastAsia" w:eastAsiaTheme="minorEastAsia" w:cstheme="minorEastAsia"/>
          <w:sz w:val="24"/>
        </w:rPr>
        <w:t xml:space="preserve">  </w:t>
      </w:r>
    </w:p>
    <w:p w14:paraId="3DF24691">
      <w:pPr>
        <w:numPr>
          <w:ilvl w:val="255"/>
          <w:numId w:val="0"/>
        </w:num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cstheme="minorEastAsia"/>
          <w:b/>
          <w:bCs/>
          <w:sz w:val="24"/>
        </w:rPr>
        <w:t>（二）</w:t>
      </w:r>
      <w:r>
        <w:rPr>
          <w:rFonts w:hint="eastAsia" w:asciiTheme="minorEastAsia" w:hAnsiTheme="minorEastAsia" w:eastAsiaTheme="minorEastAsia" w:cstheme="minorEastAsia"/>
          <w:b/>
          <w:bCs/>
          <w:sz w:val="24"/>
        </w:rPr>
        <w:t>证据形式数字化</w:t>
      </w:r>
    </w:p>
    <w:p w14:paraId="3D025CC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以电子对账单、资产证明为主，需验证电子印章有效性及数据完整性。</w:t>
      </w:r>
      <w:r>
        <w:rPr>
          <w:rFonts w:asciiTheme="minorEastAsia" w:hAnsiTheme="minorEastAsia" w:eastAsiaTheme="minorEastAsia" w:cstheme="minorEastAsia"/>
          <w:sz w:val="24"/>
        </w:rPr>
        <w:t xml:space="preserve">  </w:t>
      </w:r>
    </w:p>
    <w:p w14:paraId="778E4AE2">
      <w:pPr>
        <w:numPr>
          <w:ilvl w:val="255"/>
          <w:numId w:val="0"/>
        </w:num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cstheme="minorEastAsia"/>
          <w:b/>
          <w:bCs/>
          <w:sz w:val="24"/>
        </w:rPr>
        <w:t>（三）</w:t>
      </w:r>
      <w:r>
        <w:rPr>
          <w:rFonts w:hint="eastAsia" w:asciiTheme="minorEastAsia" w:hAnsiTheme="minorEastAsia" w:eastAsiaTheme="minorEastAsia" w:cstheme="minorEastAsia"/>
          <w:b/>
          <w:bCs/>
          <w:sz w:val="24"/>
        </w:rPr>
        <w:t>业务场景复杂化</w:t>
      </w:r>
    </w:p>
    <w:p w14:paraId="641FC9FE">
      <w:pPr>
        <w:snapToGrid w:val="0"/>
        <w:spacing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涉及电商交易、资金托管、手续费结算等多环节，需结合业务实质核查。</w:t>
      </w:r>
      <w:r>
        <w:rPr>
          <w:rFonts w:asciiTheme="minorEastAsia" w:hAnsiTheme="minorEastAsia" w:eastAsiaTheme="minorEastAsia" w:cstheme="minorEastAsia"/>
          <w:sz w:val="24"/>
        </w:rPr>
        <w:t xml:space="preserve">  </w:t>
      </w:r>
    </w:p>
    <w:p w14:paraId="7DEA2BAA">
      <w:pPr>
        <w:snapToGrid w:val="0"/>
        <w:spacing w:before="156" w:beforeLines="50" w:after="156" w:afterLines="50" w:line="360" w:lineRule="auto"/>
        <w:ind w:firstLine="480" w:firstLineChars="200"/>
        <w:rPr>
          <w:rFonts w:asciiTheme="minorEastAsia" w:hAnsiTheme="minorEastAsia" w:eastAsiaTheme="minorEastAsia" w:cstheme="minorEastAsia"/>
          <w:b/>
          <w:bCs/>
          <w:sz w:val="24"/>
        </w:rPr>
      </w:pPr>
      <w:r>
        <w:rPr>
          <w:rFonts w:asciiTheme="minorEastAsia" w:hAnsiTheme="minorEastAsia" w:eastAsiaTheme="minorEastAsia" w:cstheme="minorEastAsia"/>
          <w:sz w:val="24"/>
        </w:rPr>
        <w:t xml:space="preserve">  </w:t>
      </w:r>
      <w:r>
        <w:rPr>
          <w:rFonts w:asciiTheme="minorEastAsia" w:hAnsiTheme="minorEastAsia" w:eastAsiaTheme="minorEastAsia" w:cstheme="minorEastAsia"/>
          <w:b/>
          <w:bCs/>
          <w:sz w:val="24"/>
        </w:rPr>
        <w:t xml:space="preserve"> 二、支付宝在线查询操作示例 </w:t>
      </w:r>
    </w:p>
    <w:p w14:paraId="59D3BFBF">
      <w:pPr>
        <w:widowControl/>
        <w:numPr>
          <w:ilvl w:val="0"/>
          <w:numId w:val="10"/>
        </w:numPr>
        <w:snapToGrid w:val="0"/>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企业支付宝网上在线查询方法</w:t>
      </w:r>
    </w:p>
    <w:p w14:paraId="26855123">
      <w:pPr>
        <w:widowControl/>
        <w:snapToGrid w:val="0"/>
        <w:spacing w:line="360" w:lineRule="auto"/>
        <w:ind w:left="36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1.查询下载路径：b.alipay.com—对账中心 </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财务凭证—凭证申请</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—下载。</w:t>
      </w:r>
    </w:p>
    <w:p w14:paraId="76807283">
      <w:pPr>
        <w:widowControl/>
        <w:snapToGrid w:val="0"/>
        <w:spacing w:line="360" w:lineRule="auto"/>
        <w:ind w:left="360" w:firstLine="480" w:firstLineChars="200"/>
        <w:rPr>
          <w:rFonts w:asciiTheme="minorEastAsia" w:hAnsiTheme="minorEastAsia" w:eastAsiaTheme="minorEastAsia" w:cstheme="minorEastAsia"/>
          <w:color w:val="auto"/>
          <w:sz w:val="24"/>
          <w:shd w:val="clear" w:color="auto" w:fill="F9FAFB"/>
        </w:rPr>
      </w:pPr>
      <w:r>
        <w:rPr>
          <w:rFonts w:hint="eastAsia" w:asciiTheme="minorEastAsia" w:hAnsiTheme="minorEastAsia" w:eastAsiaTheme="minorEastAsia" w:cstheme="minorEastAsia"/>
          <w:sz w:val="24"/>
        </w:rPr>
        <w:t>目前支持查询余额收支流水证明、单笔余额收支证明、服务费结算证明、资产证明、收支汇总证明和转入转出收支证明，每种证明均规定了可查询时间，例如资产证明目前仅支持查询</w:t>
      </w:r>
      <w:r>
        <w:rPr>
          <w:rFonts w:asciiTheme="minorEastAsia" w:hAnsiTheme="minorEastAsia" w:eastAsiaTheme="minorEastAsia" w:cstheme="minorEastAsia"/>
          <w:sz w:val="24"/>
        </w:rPr>
        <w:t>2015年01月01日及以后的数据记录。</w:t>
      </w:r>
    </w:p>
    <w:p w14:paraId="3CFD9B08">
      <w:pPr>
        <w:widowControl/>
        <w:snapToGrid w:val="0"/>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4789170" cy="2614295"/>
            <wp:effectExtent l="0" t="0" r="11430" b="1460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9"/>
                    <a:stretch>
                      <a:fillRect/>
                    </a:stretch>
                  </pic:blipFill>
                  <pic:spPr>
                    <a:xfrm>
                      <a:off x="0" y="0"/>
                      <a:ext cx="4789170" cy="2614295"/>
                    </a:xfrm>
                    <a:prstGeom prst="rect">
                      <a:avLst/>
                    </a:prstGeom>
                  </pic:spPr>
                </pic:pic>
              </a:graphicData>
            </a:graphic>
          </wp:inline>
        </w:drawing>
      </w:r>
    </w:p>
    <w:p w14:paraId="29AFC457">
      <w:pPr>
        <w:widowControl/>
        <w:snapToGrid w:val="0"/>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5070475" cy="4485640"/>
            <wp:effectExtent l="0" t="0" r="15875" b="10160"/>
            <wp:docPr id="10" name="图片 10"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4"/>
                    <pic:cNvPicPr>
                      <a:picLocks noChangeAspect="1"/>
                    </pic:cNvPicPr>
                  </pic:nvPicPr>
                  <pic:blipFill>
                    <a:blip r:embed="rId10"/>
                    <a:stretch>
                      <a:fillRect/>
                    </a:stretch>
                  </pic:blipFill>
                  <pic:spPr>
                    <a:xfrm>
                      <a:off x="0" y="0"/>
                      <a:ext cx="5070475" cy="4485640"/>
                    </a:xfrm>
                    <a:prstGeom prst="rect">
                      <a:avLst/>
                    </a:prstGeom>
                  </pic:spPr>
                </pic:pic>
              </a:graphicData>
            </a:graphic>
          </wp:inline>
        </w:drawing>
      </w:r>
    </w:p>
    <w:p w14:paraId="6AAB4628">
      <w:pPr>
        <w:snapToGrid w:val="0"/>
        <w:spacing w:before="156" w:beforeLines="50"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（二）个人支付宝网上在线查询方法</w:t>
      </w:r>
    </w:p>
    <w:p w14:paraId="0DC8C130">
      <w:pPr>
        <w:snapToGrid w:val="0"/>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方法一：通过支付宝</w:t>
      </w:r>
      <w:r>
        <w:rPr>
          <w:rFonts w:asciiTheme="minorEastAsia" w:hAnsiTheme="minorEastAsia" w:eastAsiaTheme="minorEastAsia" w:cstheme="minorEastAsia"/>
          <w:sz w:val="24"/>
        </w:rPr>
        <w:t>APP查询</w:t>
      </w:r>
    </w:p>
    <w:p w14:paraId="242E72E4">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第一步：打开支付宝APP，进入 </w:t>
      </w:r>
      <w:r>
        <w:rPr>
          <w:rFonts w:hint="eastAsia" w:asciiTheme="minorEastAsia" w:hAnsiTheme="minorEastAsia" w:eastAsiaTheme="minorEastAsia" w:cstheme="minorEastAsia"/>
          <w:sz w:val="24"/>
        </w:rPr>
        <w:t>“我的”，点击</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“总资产”。</w:t>
      </w:r>
    </w:p>
    <w:p w14:paraId="22C8D5EF">
      <w:pPr>
        <w:snapToGrid w:val="0"/>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第二步：点击右下角</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“资产证明”。</w:t>
      </w:r>
    </w:p>
    <w:p w14:paraId="0239A31D">
      <w:pPr>
        <w:snapToGrid w:val="0"/>
        <w:spacing w:line="360" w:lineRule="auto"/>
        <w:ind w:firstLine="480" w:firstLineChars="20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2228215" cy="4635500"/>
            <wp:effectExtent l="0" t="0" r="635" b="12700"/>
            <wp:docPr id="11"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
                    <pic:cNvPicPr>
                      <a:picLocks noChangeAspect="1"/>
                    </pic:cNvPicPr>
                  </pic:nvPicPr>
                  <pic:blipFill>
                    <a:blip r:embed="rId11"/>
                    <a:stretch>
                      <a:fillRect/>
                    </a:stretch>
                  </pic:blipFill>
                  <pic:spPr>
                    <a:xfrm>
                      <a:off x="0" y="0"/>
                      <a:ext cx="2228215" cy="4635500"/>
                    </a:xfrm>
                    <a:prstGeom prst="rect">
                      <a:avLst/>
                    </a:prstGeom>
                  </pic:spPr>
                </pic:pic>
              </a:graphicData>
            </a:graphic>
          </wp:inline>
        </w:drawing>
      </w:r>
      <w:r>
        <w:rPr>
          <w:rFonts w:asciiTheme="minorEastAsia" w:hAnsiTheme="minorEastAsia" w:eastAsiaTheme="minorEastAsia" w:cstheme="minorEastAsia"/>
          <w:sz w:val="24"/>
        </w:rPr>
        <w:t></w:t>
      </w:r>
    </w:p>
    <w:p w14:paraId="303C65C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第三步：选择查询项目，目前支持查询余额资产和流水证明。</w:t>
      </w:r>
    </w:p>
    <w:p w14:paraId="1B87A34B">
      <w:pPr>
        <w:snapToGrid w:val="0"/>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3034030" cy="2780665"/>
            <wp:effectExtent l="0" t="0" r="13970" b="635"/>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12"/>
                    <a:stretch>
                      <a:fillRect/>
                    </a:stretch>
                  </pic:blipFill>
                  <pic:spPr>
                    <a:xfrm>
                      <a:off x="0" y="0"/>
                      <a:ext cx="3034030" cy="2780665"/>
                    </a:xfrm>
                    <a:prstGeom prst="rect">
                      <a:avLst/>
                    </a:prstGeom>
                  </pic:spPr>
                </pic:pic>
              </a:graphicData>
            </a:graphic>
          </wp:inline>
        </w:drawing>
      </w:r>
    </w:p>
    <w:p w14:paraId="62026A81">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第四步：输入函证指定接收邮箱，点击发送按钮，完成确认。</w:t>
      </w:r>
    </w:p>
    <w:p w14:paraId="1B5CF510">
      <w:pPr>
        <w:snapToGrid w:val="0"/>
        <w:spacing w:line="360" w:lineRule="auto"/>
        <w:ind w:firstLine="480" w:firstLineChars="200"/>
        <w:rPr>
          <w:rFonts w:asciiTheme="minorEastAsia" w:hAnsiTheme="minorEastAsia" w:eastAsiaTheme="minorEastAsia" w:cstheme="minorEastAsia"/>
          <w:sz w:val="24"/>
        </w:rPr>
      </w:pPr>
    </w:p>
    <w:p w14:paraId="08043AB2">
      <w:pPr>
        <w:snapToGrid w:val="0"/>
        <w:spacing w:line="360" w:lineRule="auto"/>
        <w:ind w:firstLine="480" w:firstLineChars="200"/>
        <w:rPr>
          <w:rFonts w:asciiTheme="minorEastAsia" w:hAnsiTheme="minorEastAsia" w:eastAsiaTheme="minorEastAsia" w:cstheme="minorEastAsia"/>
          <w:sz w:val="24"/>
        </w:rPr>
      </w:pPr>
    </w:p>
    <w:p w14:paraId="296FC0A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方法二：支付宝网页版 </w:t>
      </w:r>
    </w:p>
    <w:p w14:paraId="11981DA1">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第一步：登录支付宝</w:t>
      </w:r>
      <w:r>
        <w:rPr>
          <w:rFonts w:asciiTheme="minorEastAsia" w:hAnsiTheme="minorEastAsia" w:eastAsiaTheme="minorEastAsia" w:cstheme="minorEastAsia"/>
          <w:sz w:val="24"/>
        </w:rPr>
        <w:t>https://www.alipay.com/页面版，选择“我是个人用户”登陆。</w:t>
      </w:r>
    </w:p>
    <w:p w14:paraId="15E1DC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第二步：点击右上角“交易记录”—我的账单右侧“余额收支明细”；</w:t>
      </w:r>
    </w:p>
    <w:p w14:paraId="7908CC3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第二步：选择时间，手动设定时间，设置好后点击“收支明细证明”；</w:t>
      </w:r>
    </w:p>
    <w:p w14:paraId="728D7AE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第四步：输入证件号码和支付密码，点击“确定申请”；</w:t>
      </w:r>
    </w:p>
    <w:p w14:paraId="70501FB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第五步：点击下载电子版，或者点击发送电子版到邮箱，输入函证指定接收邮箱，点击确定按钮。</w:t>
      </w:r>
    </w:p>
    <w:p w14:paraId="6EEE05A2">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（三）更新情况说明</w:t>
      </w:r>
    </w:p>
    <w:p w14:paraId="659ED70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支付宝持续优化线上查询功能，注册会计师使用时需通过官方渠道（企业后台帮助中心或客服）确认最新查询路径及凭证格式，避免因系统迭代导致操作滞后。</w:t>
      </w:r>
    </w:p>
    <w:p w14:paraId="551C5357">
      <w:pPr>
        <w:snapToGrid w:val="0"/>
        <w:spacing w:before="156" w:beforeLines="50" w:after="156" w:afterLines="50"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 xml:space="preserve"> 三、其他第三方支付平台的处理原则  </w:t>
      </w:r>
    </w:p>
    <w:p w14:paraId="40E5C73B">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微信支付、京东钱包、抖音支付等平台普遍存在以下特点，审计时可参照应对：</w:t>
      </w:r>
      <w:r>
        <w:rPr>
          <w:rFonts w:asciiTheme="minorEastAsia" w:hAnsiTheme="minorEastAsia" w:eastAsiaTheme="minorEastAsia" w:cstheme="minorEastAsia"/>
          <w:sz w:val="24"/>
        </w:rPr>
        <w:t xml:space="preserve">  </w:t>
      </w:r>
    </w:p>
    <w:p w14:paraId="471127E2">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（一）函证渠道限制</w:t>
      </w:r>
      <w:r>
        <w:rPr>
          <w:rFonts w:asciiTheme="minorEastAsia" w:hAnsiTheme="minorEastAsia" w:eastAsiaTheme="minorEastAsia" w:cstheme="minorEastAsia"/>
          <w:b/>
          <w:bCs/>
          <w:sz w:val="24"/>
        </w:rPr>
        <w:t xml:space="preserve"> </w:t>
      </w:r>
    </w:p>
    <w:p w14:paraId="156BBA2B">
      <w:pPr>
        <w:snapToGrid w:val="0"/>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微信支付、抖音支付等暂未提供标准函证模板，需下载交易明细（如微信“账单”、抖音“对账管理”），结合银行流水、订单编号核查。  </w:t>
      </w:r>
    </w:p>
    <w:p w14:paraId="2DAF2244">
      <w:pPr>
        <w:snapToGrid w:val="0"/>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京东钱包目前支持在线申请资产证明（2019年12月31日起数据），需关注平台更新的查询时间范围。  </w:t>
      </w:r>
    </w:p>
    <w:p w14:paraId="6E37882D">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（二）替代程序应用</w:t>
      </w:r>
      <w:r>
        <w:rPr>
          <w:rFonts w:asciiTheme="minorEastAsia" w:hAnsiTheme="minorEastAsia" w:eastAsiaTheme="minorEastAsia" w:cstheme="minorEastAsia"/>
          <w:b/>
          <w:bCs/>
          <w:sz w:val="24"/>
        </w:rPr>
        <w:t xml:space="preserve">  </w:t>
      </w:r>
    </w:p>
    <w:p w14:paraId="748701D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对于无法直接函证的平台，注册会计师可执行“交易明细</w:t>
      </w:r>
      <w:r>
        <w:rPr>
          <w:rFonts w:asciiTheme="minorEastAsia" w:hAnsiTheme="minorEastAsia" w:eastAsiaTheme="minorEastAsia" w:cstheme="minorEastAsia"/>
          <w:sz w:val="24"/>
        </w:rPr>
        <w:t>+资金流水+业务单据”验证，包括但不限于：下载全量交易数据，筛选重大交易匹配物流单号（如电商平台订单号）；核对第三方支付账户与银行账户的资金划转记录，确保金额、时间一致；抽取异常交易对应的合同、验收单等，验证商业实质。</w:t>
      </w:r>
    </w:p>
    <w:p w14:paraId="22210B24">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（三）动态关注平台规则</w:t>
      </w:r>
      <w:r>
        <w:rPr>
          <w:rFonts w:asciiTheme="minorEastAsia" w:hAnsiTheme="minorEastAsia" w:eastAsiaTheme="minorEastAsia" w:cstheme="minorEastAsia"/>
          <w:b/>
          <w:bCs/>
          <w:sz w:val="24"/>
        </w:rPr>
        <w:t xml:space="preserve">  </w:t>
      </w:r>
    </w:p>
    <w:p w14:paraId="115FFDD7">
      <w:pPr>
        <w:snapToGrid w:val="0"/>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第三方支付功能持续迭代，注册会计师需通过平台官网、客服渠道确认最新查询方式，避免依赖过时流程。  </w:t>
      </w:r>
    </w:p>
    <w:p w14:paraId="6B27DB13">
      <w:pPr>
        <w:snapToGrid w:val="0"/>
        <w:spacing w:before="156" w:beforeLines="50" w:after="156" w:afterLines="50" w:line="360" w:lineRule="auto"/>
        <w:ind w:firstLine="480" w:firstLineChars="200"/>
        <w:rPr>
          <w:rFonts w:asciiTheme="minorEastAsia" w:hAnsiTheme="minorEastAsia" w:eastAsiaTheme="minorEastAsia" w:cstheme="minorEastAsia"/>
          <w:b/>
          <w:bCs/>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四、审计程序实施要点</w:t>
      </w:r>
      <w:r>
        <w:rPr>
          <w:rFonts w:asciiTheme="minorEastAsia" w:hAnsiTheme="minorEastAsia" w:eastAsiaTheme="minorEastAsia" w:cstheme="minorEastAsia"/>
          <w:b/>
          <w:bCs/>
          <w:sz w:val="24"/>
        </w:rPr>
        <w:t xml:space="preserve">  </w:t>
      </w:r>
    </w:p>
    <w:p w14:paraId="72F6FA2C">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（一）风险评估前置</w:t>
      </w:r>
    </w:p>
    <w:p w14:paraId="046000A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判断第三方支付账户是否为重大交易载体，如电商企业需重点核查支付宝</w:t>
      </w:r>
      <w:r>
        <w:rPr>
          <w:rFonts w:asciiTheme="minorEastAsia" w:hAnsiTheme="minorEastAsia" w:eastAsiaTheme="minorEastAsia" w:cstheme="minorEastAsia"/>
          <w:sz w:val="24"/>
        </w:rPr>
        <w:t xml:space="preserve">/微信支付流水。  </w:t>
      </w:r>
    </w:p>
    <w:p w14:paraId="0433353A">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（二）电子证据核验</w:t>
      </w:r>
    </w:p>
    <w:p w14:paraId="7607E1E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通过平台官方渠道验证电子凭证真伪，禁止接受被审计单位转发的非加密文件。</w:t>
      </w:r>
      <w:r>
        <w:rPr>
          <w:rFonts w:asciiTheme="minorEastAsia" w:hAnsiTheme="minorEastAsia" w:eastAsiaTheme="minorEastAsia" w:cstheme="minorEastAsia"/>
          <w:sz w:val="24"/>
        </w:rPr>
        <w:t xml:space="preserve">  </w:t>
      </w:r>
    </w:p>
    <w:p w14:paraId="00C1AF77">
      <w:pPr>
        <w:snapToGrid w:val="0"/>
        <w:spacing w:line="360" w:lineRule="auto"/>
        <w:ind w:left="420" w:left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（三）底稿完整留存</w:t>
      </w:r>
    </w:p>
    <w:p w14:paraId="574282AF">
      <w:pPr>
        <w:snapToGrid w:val="0"/>
        <w:spacing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保存凭证下载路径截图、系统日志、平台规则说明等，确保函证过程可追溯。</w:t>
      </w:r>
      <w:r>
        <w:rPr>
          <w:rFonts w:asciiTheme="minorEastAsia" w:hAnsiTheme="minorEastAsia" w:eastAsiaTheme="minorEastAsia" w:cstheme="minorEastAsia"/>
          <w:sz w:val="24"/>
        </w:rPr>
        <w:t xml:space="preserve">  </w:t>
      </w:r>
    </w:p>
    <w:p w14:paraId="3D165C74">
      <w:pPr>
        <w:snapToGrid w:val="0"/>
        <w:spacing w:line="360" w:lineRule="auto"/>
        <w:rPr>
          <w:rFonts w:asciiTheme="minorEastAsia" w:hAnsiTheme="minorEastAsia" w:eastAsiaTheme="minorEastAsia" w:cstheme="minorEastAsia"/>
          <w:sz w:val="24"/>
        </w:rPr>
      </w:pPr>
    </w:p>
    <w:p w14:paraId="32CDE93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方支付平台函证需打破传统函证思维，依托线上自助工具与多维交叉验证，在数字化证据链中筑牢风险防线。注册会计师应聚焦“数据来源可靠性”与“业务逻辑匹配性”，将平台特性融入审计程序设计，确保在新兴支付场景下获取充分适当的审计证据。</w:t>
      </w:r>
    </w:p>
    <w:p w14:paraId="72D3757F">
      <w:pPr>
        <w:snapToGrid w:val="0"/>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br w:type="page"/>
      </w:r>
    </w:p>
    <w:p w14:paraId="03B228A1">
      <w:pPr>
        <w:snapToGrid w:val="0"/>
        <w:spacing w:line="360" w:lineRule="auto"/>
        <w:jc w:val="center"/>
        <w:outlineLvl w:val="0"/>
        <w:rPr>
          <w:rFonts w:ascii="方正小标宋简体" w:hAnsi="方正小标宋简体" w:eastAsia="方正小标宋简体" w:cs="方正小标宋简体"/>
          <w:b w:val="0"/>
          <w:bCs w:val="0"/>
          <w:sz w:val="30"/>
          <w:szCs w:val="30"/>
        </w:rPr>
      </w:pPr>
      <w:bookmarkStart w:id="91" w:name="_Toc2226"/>
      <w:bookmarkStart w:id="92" w:name="_Toc22538"/>
      <w:bookmarkStart w:id="93" w:name="_Toc6049"/>
      <w:r>
        <w:rPr>
          <w:rFonts w:hint="eastAsia" w:ascii="方正小标宋简体" w:hAnsi="方正小标宋简体" w:eastAsia="方正小标宋简体" w:cs="方正小标宋简体"/>
          <w:b w:val="0"/>
          <w:bCs w:val="0"/>
          <w:sz w:val="30"/>
          <w:szCs w:val="30"/>
        </w:rPr>
        <w:t>第七章</w:t>
      </w:r>
      <w:r>
        <w:rPr>
          <w:rFonts w:hint="eastAsia" w:ascii="方正小标宋简体" w:hAnsi="方正小标宋简体" w:eastAsia="方正小标宋简体" w:cs="方正小标宋简体"/>
          <w:sz w:val="30"/>
          <w:szCs w:val="30"/>
        </w:rPr>
        <w:t xml:space="preserve">  </w:t>
      </w:r>
      <w:r>
        <w:rPr>
          <w:rFonts w:hint="eastAsia" w:ascii="方正小标宋简体" w:hAnsi="方正小标宋简体" w:eastAsia="方正小标宋简体" w:cs="方正小标宋简体"/>
          <w:b w:val="0"/>
          <w:bCs w:val="0"/>
          <w:sz w:val="30"/>
          <w:szCs w:val="30"/>
        </w:rPr>
        <w:t>附则</w:t>
      </w:r>
      <w:bookmarkEnd w:id="91"/>
      <w:bookmarkEnd w:id="92"/>
      <w:bookmarkEnd w:id="93"/>
    </w:p>
    <w:p w14:paraId="2EFF4CF3">
      <w:pPr>
        <w:snapToGrid w:val="0"/>
        <w:spacing w:line="360" w:lineRule="auto"/>
        <w:ind w:firstLine="480"/>
        <w:rPr>
          <w:rFonts w:asciiTheme="minorEastAsia" w:hAnsiTheme="minorEastAsia" w:cstheme="minorEastAsia"/>
          <w:sz w:val="24"/>
        </w:rPr>
      </w:pPr>
    </w:p>
    <w:p w14:paraId="4E39EF2D">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则中的各附录旨在为审计工作提供参考和指引。附录中的函证计划模板、询证函格式模板及工作底稿示例，均属于通用性参考材料，并非对审计程序的完整涵盖。注册会计师在实际审计工作中，需结合项目特性、客户实际经营状况及风险特征等因素，灵活且审慎地执行相应审计程序，以确保审计工作的质量与有效性。</w:t>
      </w:r>
    </w:p>
    <w:p w14:paraId="2B90E150">
      <w:pPr>
        <w:snapToGrid w:val="0"/>
        <w:spacing w:line="360" w:lineRule="auto"/>
        <w:ind w:firstLine="480"/>
        <w:rPr>
          <w:rFonts w:asciiTheme="minorEastAsia" w:hAnsiTheme="minorEastAsia" w:eastAsiaTheme="minorEastAsia" w:cstheme="minorEastAsia"/>
          <w:sz w:val="24"/>
        </w:rPr>
      </w:pPr>
    </w:p>
    <w:p w14:paraId="44651AC2">
      <w:pPr>
        <w:snapToGrid w:val="0"/>
        <w:spacing w:line="360" w:lineRule="auto"/>
        <w:ind w:firstLine="480" w:firstLineChars="200"/>
        <w:outlineLvl w:val="0"/>
        <w:rPr>
          <w:rFonts w:asciiTheme="minorEastAsia" w:hAnsiTheme="minorEastAsia" w:eastAsiaTheme="minorEastAsia" w:cstheme="minorEastAsia"/>
          <w:sz w:val="24"/>
        </w:rPr>
      </w:pPr>
      <w:bookmarkStart w:id="94" w:name="_Toc10314"/>
      <w:bookmarkStart w:id="95" w:name="_Toc25702"/>
      <w:bookmarkStart w:id="96" w:name="_Toc24953"/>
      <w:r>
        <w:rPr>
          <w:rFonts w:hint="eastAsia" w:asciiTheme="minorEastAsia" w:hAnsiTheme="minorEastAsia" w:eastAsiaTheme="minorEastAsia" w:cstheme="minorEastAsia"/>
          <w:sz w:val="24"/>
        </w:rPr>
        <w:t>附录：</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函证计划参考模板</w:t>
      </w:r>
      <w:bookmarkEnd w:id="94"/>
      <w:bookmarkEnd w:id="95"/>
      <w:bookmarkEnd w:id="96"/>
    </w:p>
    <w:p w14:paraId="2BEBB739">
      <w:pPr>
        <w:snapToGrid w:val="0"/>
        <w:spacing w:line="360" w:lineRule="auto"/>
        <w:ind w:firstLine="480" w:firstLineChars="200"/>
        <w:outlineLvl w:val="0"/>
        <w:rPr>
          <w:rFonts w:asciiTheme="minorEastAsia" w:hAnsiTheme="minorEastAsia" w:eastAsiaTheme="minorEastAsia" w:cstheme="minorEastAsia"/>
          <w:sz w:val="24"/>
        </w:rPr>
      </w:pPr>
      <w:bookmarkStart w:id="97" w:name="_Toc29447"/>
      <w:r>
        <w:rPr>
          <w:rFonts w:asciiTheme="minorEastAsia" w:hAnsiTheme="minorEastAsia" w:eastAsiaTheme="minorEastAsia" w:cstheme="minorEastAsia"/>
          <w:sz w:val="24"/>
        </w:rPr>
        <w:t xml:space="preserve">      </w:t>
      </w:r>
      <w:bookmarkStart w:id="98" w:name="_Toc31521"/>
      <w:bookmarkStart w:id="99" w:name="_Toc10271"/>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常用询证函格式模板</w:t>
      </w:r>
      <w:bookmarkEnd w:id="97"/>
      <w:bookmarkEnd w:id="98"/>
      <w:bookmarkEnd w:id="99"/>
    </w:p>
    <w:p w14:paraId="37F9122A">
      <w:pPr>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3.</w:t>
      </w:r>
      <w:r>
        <w:rPr>
          <w:rFonts w:hint="eastAsia" w:asciiTheme="minorEastAsia" w:hAnsiTheme="minorEastAsia" w:eastAsiaTheme="minorEastAsia" w:cstheme="minorEastAsia"/>
          <w:sz w:val="24"/>
        </w:rPr>
        <w:t>应收账款函证工作底稿参考案例</w:t>
      </w:r>
    </w:p>
    <w:p w14:paraId="0E386352">
      <w:pPr>
        <w:snapToGrid w:val="0"/>
        <w:spacing w:line="360" w:lineRule="auto"/>
        <w:ind w:firstLine="480" w:firstLineChars="200"/>
        <w:rPr>
          <w:rFonts w:asciiTheme="minorEastAsia" w:hAnsiTheme="minorEastAsia" w:cstheme="minorEastAsia"/>
          <w:sz w:val="24"/>
        </w:rPr>
      </w:pPr>
      <w:r>
        <w:rPr>
          <w:rFonts w:asciiTheme="minorEastAsia" w:hAnsiTheme="minorEastAsia" w:eastAsiaTheme="minorEastAsia" w:cstheme="minorEastAsia"/>
          <w:sz w:val="24"/>
        </w:rPr>
        <w:t xml:space="preserve">      4.</w:t>
      </w:r>
      <w:r>
        <w:rPr>
          <w:rFonts w:hint="eastAsia" w:asciiTheme="minorEastAsia" w:hAnsiTheme="minorEastAsia" w:eastAsiaTheme="minorEastAsia" w:cstheme="minorEastAsia"/>
          <w:sz w:val="24"/>
        </w:rPr>
        <w:t>函证失败典型审计案例</w:t>
      </w:r>
    </w:p>
    <w:p w14:paraId="1A47B72A">
      <w:pPr>
        <w:snapToGrid w:val="0"/>
        <w:spacing w:line="360" w:lineRule="auto"/>
        <w:ind w:firstLine="480" w:firstLineChars="200"/>
        <w:rPr>
          <w:rFonts w:asciiTheme="minorEastAsia" w:hAnsiTheme="minorEastAsia" w:cstheme="minorEastAsia"/>
          <w:sz w:val="24"/>
        </w:rPr>
      </w:pPr>
    </w:p>
    <w:p w14:paraId="0BA5BD86">
      <w:pPr>
        <w:snapToGrid w:val="0"/>
        <w:spacing w:line="360" w:lineRule="auto"/>
        <w:ind w:firstLine="480" w:firstLineChars="200"/>
        <w:rPr>
          <w:rFonts w:asciiTheme="minorEastAsia" w:hAnsiTheme="minorEastAsia" w:eastAsiaTheme="minorEastAsia" w:cstheme="minorEastAsia"/>
          <w:sz w:val="24"/>
        </w:rPr>
      </w:pPr>
    </w:p>
    <w:p w14:paraId="2DEA8A5E">
      <w:pPr>
        <w:spacing w:line="360" w:lineRule="auto"/>
        <w:ind w:firstLine="480" w:firstLineChars="200"/>
        <w:rPr>
          <w:rFonts w:ascii="仿宋" w:hAnsi="仿宋" w:eastAsia="仿宋" w:cs="仿宋"/>
          <w:sz w:val="24"/>
        </w:rPr>
      </w:pPr>
    </w:p>
    <w:p w14:paraId="1D64A74B">
      <w:pPr>
        <w:spacing w:line="360" w:lineRule="auto"/>
        <w:ind w:firstLine="480" w:firstLineChars="200"/>
        <w:jc w:val="center"/>
        <w:rPr>
          <w:rFonts w:ascii="仿宋" w:hAnsi="仿宋" w:eastAsia="仿宋" w:cs="仿宋"/>
          <w:sz w:val="24"/>
        </w:rPr>
      </w:pPr>
      <w:r>
        <w:rPr>
          <w:rFonts w:ascii="仿宋" w:hAnsi="仿宋" w:eastAsia="仿宋" w:cs="仿宋"/>
          <w:sz w:val="24"/>
        </w:rPr>
        <w:drawing>
          <wp:inline distT="0" distB="0" distL="0" distR="0">
            <wp:extent cx="2162175" cy="2162175"/>
            <wp:effectExtent l="0" t="0" r="9525" b="9525"/>
            <wp:docPr id="12" name="图片 12" descr="C:\Users\Administrator\Desktop\函证 附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函证 附录.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2175" cy="2162175"/>
                    </a:xfrm>
                    <a:prstGeom prst="rect">
                      <a:avLst/>
                    </a:prstGeom>
                    <a:noFill/>
                    <a:ln>
                      <a:noFill/>
                    </a:ln>
                  </pic:spPr>
                </pic:pic>
              </a:graphicData>
            </a:graphic>
          </wp:inline>
        </w:drawing>
      </w:r>
    </w:p>
    <w:p w14:paraId="65BD2F8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（扫码查看附录）</w:t>
      </w:r>
    </w:p>
    <w:sectPr>
      <w:pgSz w:w="11906" w:h="16838"/>
      <w:pgMar w:top="1417" w:right="1644" w:bottom="1417" w:left="1644" w:header="851" w:footer="85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6A5F">
    <w:pPr>
      <w:pStyle w:val="6"/>
      <w:tabs>
        <w:tab w:val="center" w:pos="4422"/>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41DF">
    <w:pPr>
      <w:pStyle w:val="6"/>
      <w:tabs>
        <w:tab w:val="center" w:pos="4422"/>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820B">
    <w:pPr>
      <w:pStyle w:val="6"/>
      <w:tabs>
        <w:tab w:val="left" w:pos="6304"/>
        <w:tab w:val="left" w:pos="7242"/>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804D">
                          <w:pPr>
                            <w:pStyle w:val="6"/>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65</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B0C804D">
                    <w:pPr>
                      <w:pStyle w:val="6"/>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65</w:t>
                    </w:r>
                    <w:r>
                      <w:rPr>
                        <w:rFonts w:hint="eastAsia" w:asciiTheme="minorEastAsia" w:hAnsiTheme="minorEastAsia" w:cstheme="minorEastAsia"/>
                        <w:sz w:val="24"/>
                        <w:szCs w:val="24"/>
                      </w:rPr>
                      <w:fldChar w:fldCharType="end"/>
                    </w:r>
                  </w:p>
                </w:txbxContent>
              </v:textbox>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D7E0C"/>
    <w:multiLevelType w:val="singleLevel"/>
    <w:tmpl w:val="9EAD7E0C"/>
    <w:lvl w:ilvl="0" w:tentative="0">
      <w:start w:val="1"/>
      <w:numFmt w:val="chineseCounting"/>
      <w:suff w:val="nothing"/>
      <w:lvlText w:val="（%1）"/>
      <w:lvlJc w:val="left"/>
      <w:rPr>
        <w:rFonts w:hint="eastAsia"/>
      </w:rPr>
    </w:lvl>
  </w:abstractNum>
  <w:abstractNum w:abstractNumId="1">
    <w:nsid w:val="BE3F02D3"/>
    <w:multiLevelType w:val="singleLevel"/>
    <w:tmpl w:val="BE3F02D3"/>
    <w:lvl w:ilvl="0" w:tentative="0">
      <w:start w:val="2"/>
      <w:numFmt w:val="chineseCounting"/>
      <w:suff w:val="nothing"/>
      <w:lvlText w:val="（%1）"/>
      <w:lvlJc w:val="left"/>
      <w:rPr>
        <w:rFonts w:hint="eastAsia"/>
      </w:rPr>
    </w:lvl>
  </w:abstractNum>
  <w:abstractNum w:abstractNumId="2">
    <w:nsid w:val="D72378B9"/>
    <w:multiLevelType w:val="singleLevel"/>
    <w:tmpl w:val="D72378B9"/>
    <w:lvl w:ilvl="0" w:tentative="0">
      <w:start w:val="1"/>
      <w:numFmt w:val="chineseCounting"/>
      <w:suff w:val="nothing"/>
      <w:lvlText w:val="（%1）"/>
      <w:lvlJc w:val="left"/>
      <w:rPr>
        <w:rFonts w:hint="eastAsia"/>
      </w:rPr>
    </w:lvl>
  </w:abstractNum>
  <w:abstractNum w:abstractNumId="3">
    <w:nsid w:val="E737F6B4"/>
    <w:multiLevelType w:val="singleLevel"/>
    <w:tmpl w:val="E737F6B4"/>
    <w:lvl w:ilvl="0" w:tentative="0">
      <w:start w:val="2"/>
      <w:numFmt w:val="decimal"/>
      <w:suff w:val="nothing"/>
      <w:lvlText w:val="（%1）"/>
      <w:lvlJc w:val="left"/>
    </w:lvl>
  </w:abstractNum>
  <w:abstractNum w:abstractNumId="4">
    <w:nsid w:val="F9927E18"/>
    <w:multiLevelType w:val="singleLevel"/>
    <w:tmpl w:val="F9927E18"/>
    <w:lvl w:ilvl="0" w:tentative="0">
      <w:start w:val="2"/>
      <w:numFmt w:val="decimal"/>
      <w:suff w:val="nothing"/>
      <w:lvlText w:val="（%1）"/>
      <w:lvlJc w:val="left"/>
    </w:lvl>
  </w:abstractNum>
  <w:abstractNum w:abstractNumId="5">
    <w:nsid w:val="13F6DD14"/>
    <w:multiLevelType w:val="singleLevel"/>
    <w:tmpl w:val="13F6DD14"/>
    <w:lvl w:ilvl="0" w:tentative="0">
      <w:start w:val="2"/>
      <w:numFmt w:val="decimal"/>
      <w:suff w:val="nothing"/>
      <w:lvlText w:val="（%1）"/>
      <w:lvlJc w:val="left"/>
    </w:lvl>
  </w:abstractNum>
  <w:abstractNum w:abstractNumId="6">
    <w:nsid w:val="16661C19"/>
    <w:multiLevelType w:val="singleLevel"/>
    <w:tmpl w:val="16661C19"/>
    <w:lvl w:ilvl="0" w:tentative="0">
      <w:start w:val="1"/>
      <w:numFmt w:val="decimal"/>
      <w:suff w:val="nothing"/>
      <w:lvlText w:val="（%1）"/>
      <w:lvlJc w:val="left"/>
    </w:lvl>
  </w:abstractNum>
  <w:abstractNum w:abstractNumId="7">
    <w:nsid w:val="6D19B2EA"/>
    <w:multiLevelType w:val="singleLevel"/>
    <w:tmpl w:val="6D19B2EA"/>
    <w:lvl w:ilvl="0" w:tentative="0">
      <w:start w:val="1"/>
      <w:numFmt w:val="chineseCounting"/>
      <w:suff w:val="nothing"/>
      <w:lvlText w:val="%1、"/>
      <w:lvlJc w:val="left"/>
      <w:rPr>
        <w:rFonts w:hint="eastAsia"/>
      </w:rPr>
    </w:lvl>
  </w:abstractNum>
  <w:abstractNum w:abstractNumId="8">
    <w:nsid w:val="6E30A7FD"/>
    <w:multiLevelType w:val="singleLevel"/>
    <w:tmpl w:val="6E30A7FD"/>
    <w:lvl w:ilvl="0" w:tentative="0">
      <w:start w:val="2"/>
      <w:numFmt w:val="chineseCounting"/>
      <w:suff w:val="nothing"/>
      <w:lvlText w:val="（%1）"/>
      <w:lvlJc w:val="left"/>
      <w:rPr>
        <w:rFonts w:hint="eastAsia"/>
      </w:rPr>
    </w:lvl>
  </w:abstractNum>
  <w:abstractNum w:abstractNumId="9">
    <w:nsid w:val="7716FD4A"/>
    <w:multiLevelType w:val="singleLevel"/>
    <w:tmpl w:val="7716FD4A"/>
    <w:lvl w:ilvl="0" w:tentative="0">
      <w:start w:val="1"/>
      <w:numFmt w:val="chineseCounting"/>
      <w:suff w:val="nothing"/>
      <w:lvlText w:val="（%1）"/>
      <w:lvlJc w:val="left"/>
      <w:rPr>
        <w:rFonts w:hint="eastAsia"/>
      </w:rPr>
    </w:lvl>
  </w:abstractNum>
  <w:num w:numId="1">
    <w:abstractNumId w:val="9"/>
  </w:num>
  <w:num w:numId="2">
    <w:abstractNumId w:val="7"/>
  </w:num>
  <w:num w:numId="3">
    <w:abstractNumId w:val="8"/>
  </w:num>
  <w:num w:numId="4">
    <w:abstractNumId w:val="1"/>
  </w:num>
  <w:num w:numId="5">
    <w:abstractNumId w:val="5"/>
  </w:num>
  <w:num w:numId="6">
    <w:abstractNumId w:val="4"/>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86BA5"/>
    <w:rsid w:val="00012B1C"/>
    <w:rsid w:val="00024E31"/>
    <w:rsid w:val="00027979"/>
    <w:rsid w:val="00051FF8"/>
    <w:rsid w:val="000925EB"/>
    <w:rsid w:val="000B2DB0"/>
    <w:rsid w:val="000D75BD"/>
    <w:rsid w:val="000E00B4"/>
    <w:rsid w:val="000E34D6"/>
    <w:rsid w:val="001205B8"/>
    <w:rsid w:val="0012122A"/>
    <w:rsid w:val="0014717D"/>
    <w:rsid w:val="00150FE5"/>
    <w:rsid w:val="00154AE5"/>
    <w:rsid w:val="00160B8E"/>
    <w:rsid w:val="00162A85"/>
    <w:rsid w:val="00163801"/>
    <w:rsid w:val="00173965"/>
    <w:rsid w:val="001B1901"/>
    <w:rsid w:val="001D3B03"/>
    <w:rsid w:val="001D59C9"/>
    <w:rsid w:val="001E5BEC"/>
    <w:rsid w:val="00233A11"/>
    <w:rsid w:val="002360A0"/>
    <w:rsid w:val="00250A0D"/>
    <w:rsid w:val="002D2F2D"/>
    <w:rsid w:val="002E2B4D"/>
    <w:rsid w:val="003049F0"/>
    <w:rsid w:val="00317D55"/>
    <w:rsid w:val="00362F54"/>
    <w:rsid w:val="003713EA"/>
    <w:rsid w:val="003A4B86"/>
    <w:rsid w:val="003B2921"/>
    <w:rsid w:val="003B4630"/>
    <w:rsid w:val="003B4F8C"/>
    <w:rsid w:val="003C7DE3"/>
    <w:rsid w:val="003D3076"/>
    <w:rsid w:val="003D58F4"/>
    <w:rsid w:val="003D5EF2"/>
    <w:rsid w:val="003E2107"/>
    <w:rsid w:val="003E34B3"/>
    <w:rsid w:val="003E633D"/>
    <w:rsid w:val="0040549D"/>
    <w:rsid w:val="004101B3"/>
    <w:rsid w:val="00435CA4"/>
    <w:rsid w:val="004702BE"/>
    <w:rsid w:val="00473964"/>
    <w:rsid w:val="00493EC9"/>
    <w:rsid w:val="00496A42"/>
    <w:rsid w:val="004A6E80"/>
    <w:rsid w:val="004D3090"/>
    <w:rsid w:val="004E7F2E"/>
    <w:rsid w:val="004F4CF0"/>
    <w:rsid w:val="00503154"/>
    <w:rsid w:val="00513659"/>
    <w:rsid w:val="00523278"/>
    <w:rsid w:val="00547168"/>
    <w:rsid w:val="005475F3"/>
    <w:rsid w:val="005559C4"/>
    <w:rsid w:val="00575709"/>
    <w:rsid w:val="005970D3"/>
    <w:rsid w:val="005D2729"/>
    <w:rsid w:val="005F5A53"/>
    <w:rsid w:val="00640982"/>
    <w:rsid w:val="0065194C"/>
    <w:rsid w:val="0068750E"/>
    <w:rsid w:val="006A56D1"/>
    <w:rsid w:val="006E100B"/>
    <w:rsid w:val="006E1F16"/>
    <w:rsid w:val="0071233F"/>
    <w:rsid w:val="0074056C"/>
    <w:rsid w:val="0078184B"/>
    <w:rsid w:val="00786A67"/>
    <w:rsid w:val="007A7314"/>
    <w:rsid w:val="007F028C"/>
    <w:rsid w:val="008254F5"/>
    <w:rsid w:val="0086219D"/>
    <w:rsid w:val="00863319"/>
    <w:rsid w:val="00890DFC"/>
    <w:rsid w:val="008945C0"/>
    <w:rsid w:val="008A65AA"/>
    <w:rsid w:val="008D2011"/>
    <w:rsid w:val="008F322A"/>
    <w:rsid w:val="009206A4"/>
    <w:rsid w:val="00930769"/>
    <w:rsid w:val="009330A8"/>
    <w:rsid w:val="00935A15"/>
    <w:rsid w:val="00970D4E"/>
    <w:rsid w:val="0098261E"/>
    <w:rsid w:val="00985837"/>
    <w:rsid w:val="00990A40"/>
    <w:rsid w:val="009B0218"/>
    <w:rsid w:val="009C66D3"/>
    <w:rsid w:val="009E41A8"/>
    <w:rsid w:val="009F76B9"/>
    <w:rsid w:val="00A01574"/>
    <w:rsid w:val="00A07EEF"/>
    <w:rsid w:val="00A144CD"/>
    <w:rsid w:val="00A320D3"/>
    <w:rsid w:val="00A61440"/>
    <w:rsid w:val="00A71175"/>
    <w:rsid w:val="00AA5826"/>
    <w:rsid w:val="00AC7E49"/>
    <w:rsid w:val="00AD38E2"/>
    <w:rsid w:val="00B0037C"/>
    <w:rsid w:val="00B04529"/>
    <w:rsid w:val="00B52257"/>
    <w:rsid w:val="00B655B7"/>
    <w:rsid w:val="00B66727"/>
    <w:rsid w:val="00B84D9C"/>
    <w:rsid w:val="00B86CDD"/>
    <w:rsid w:val="00B87CF9"/>
    <w:rsid w:val="00BD7ADF"/>
    <w:rsid w:val="00BE6465"/>
    <w:rsid w:val="00BF0067"/>
    <w:rsid w:val="00BF752B"/>
    <w:rsid w:val="00C1518E"/>
    <w:rsid w:val="00C33275"/>
    <w:rsid w:val="00C44864"/>
    <w:rsid w:val="00C46E14"/>
    <w:rsid w:val="00C4710D"/>
    <w:rsid w:val="00C9321F"/>
    <w:rsid w:val="00CD0A93"/>
    <w:rsid w:val="00CE6BE8"/>
    <w:rsid w:val="00CF264A"/>
    <w:rsid w:val="00CF58E8"/>
    <w:rsid w:val="00D17EFA"/>
    <w:rsid w:val="00D32152"/>
    <w:rsid w:val="00D37279"/>
    <w:rsid w:val="00D40741"/>
    <w:rsid w:val="00D42B42"/>
    <w:rsid w:val="00D543EB"/>
    <w:rsid w:val="00D74C0E"/>
    <w:rsid w:val="00D76785"/>
    <w:rsid w:val="00D804AF"/>
    <w:rsid w:val="00DB77DD"/>
    <w:rsid w:val="00E053D5"/>
    <w:rsid w:val="00E405B3"/>
    <w:rsid w:val="00E44CA3"/>
    <w:rsid w:val="00E5543F"/>
    <w:rsid w:val="00E568A7"/>
    <w:rsid w:val="00EA427F"/>
    <w:rsid w:val="00EB01B1"/>
    <w:rsid w:val="00EB55FD"/>
    <w:rsid w:val="00F213CF"/>
    <w:rsid w:val="00F248ED"/>
    <w:rsid w:val="00F26029"/>
    <w:rsid w:val="00F47306"/>
    <w:rsid w:val="00F714D6"/>
    <w:rsid w:val="00F722A5"/>
    <w:rsid w:val="00F75B06"/>
    <w:rsid w:val="00F84FEA"/>
    <w:rsid w:val="00F97548"/>
    <w:rsid w:val="00FA0871"/>
    <w:rsid w:val="00FA1F7C"/>
    <w:rsid w:val="00FB28E1"/>
    <w:rsid w:val="00FB6229"/>
    <w:rsid w:val="00FB68F7"/>
    <w:rsid w:val="00FE75FB"/>
    <w:rsid w:val="016025FC"/>
    <w:rsid w:val="01E2049B"/>
    <w:rsid w:val="020F2B89"/>
    <w:rsid w:val="026A06EA"/>
    <w:rsid w:val="02993385"/>
    <w:rsid w:val="02D45932"/>
    <w:rsid w:val="02D47275"/>
    <w:rsid w:val="03EF6DCE"/>
    <w:rsid w:val="03F25F90"/>
    <w:rsid w:val="04706892"/>
    <w:rsid w:val="049031F8"/>
    <w:rsid w:val="04D70E27"/>
    <w:rsid w:val="04D76D61"/>
    <w:rsid w:val="04E2307E"/>
    <w:rsid w:val="04F20392"/>
    <w:rsid w:val="05236ED1"/>
    <w:rsid w:val="05B922DB"/>
    <w:rsid w:val="05F42399"/>
    <w:rsid w:val="06367DD0"/>
    <w:rsid w:val="06AF6C6E"/>
    <w:rsid w:val="071945DB"/>
    <w:rsid w:val="07442078"/>
    <w:rsid w:val="078B581D"/>
    <w:rsid w:val="08291D9A"/>
    <w:rsid w:val="09437479"/>
    <w:rsid w:val="0949606C"/>
    <w:rsid w:val="0A0C5C05"/>
    <w:rsid w:val="0AEA0054"/>
    <w:rsid w:val="0B0E131B"/>
    <w:rsid w:val="0B9F3D21"/>
    <w:rsid w:val="0BBA7B3F"/>
    <w:rsid w:val="0BCB4445"/>
    <w:rsid w:val="0BD35C6B"/>
    <w:rsid w:val="0C0C748E"/>
    <w:rsid w:val="0C186BA5"/>
    <w:rsid w:val="0C281F4A"/>
    <w:rsid w:val="0C460CC2"/>
    <w:rsid w:val="0CC1463D"/>
    <w:rsid w:val="0D443A40"/>
    <w:rsid w:val="0DB34455"/>
    <w:rsid w:val="0DFE4B58"/>
    <w:rsid w:val="0E413A70"/>
    <w:rsid w:val="0E79349E"/>
    <w:rsid w:val="0E8C4A31"/>
    <w:rsid w:val="0F376B6C"/>
    <w:rsid w:val="0F893922"/>
    <w:rsid w:val="106317C1"/>
    <w:rsid w:val="116A39A2"/>
    <w:rsid w:val="12394ECF"/>
    <w:rsid w:val="124236AB"/>
    <w:rsid w:val="125835AC"/>
    <w:rsid w:val="132C0455"/>
    <w:rsid w:val="135172E5"/>
    <w:rsid w:val="135C3CDA"/>
    <w:rsid w:val="14104866"/>
    <w:rsid w:val="149135B5"/>
    <w:rsid w:val="14C307F1"/>
    <w:rsid w:val="14C64133"/>
    <w:rsid w:val="154428DB"/>
    <w:rsid w:val="15A5462A"/>
    <w:rsid w:val="161A5651"/>
    <w:rsid w:val="16824D24"/>
    <w:rsid w:val="16913E72"/>
    <w:rsid w:val="16C6162F"/>
    <w:rsid w:val="16D30AC9"/>
    <w:rsid w:val="17497F06"/>
    <w:rsid w:val="17546C84"/>
    <w:rsid w:val="17773DA4"/>
    <w:rsid w:val="18095344"/>
    <w:rsid w:val="182125E3"/>
    <w:rsid w:val="1867217A"/>
    <w:rsid w:val="19444F7B"/>
    <w:rsid w:val="195E3656"/>
    <w:rsid w:val="198F1D8F"/>
    <w:rsid w:val="1A3D12D5"/>
    <w:rsid w:val="1A5C56F8"/>
    <w:rsid w:val="1A6F7950"/>
    <w:rsid w:val="1B397CEE"/>
    <w:rsid w:val="1B484046"/>
    <w:rsid w:val="1B613FD4"/>
    <w:rsid w:val="1BAA3C98"/>
    <w:rsid w:val="1C010224"/>
    <w:rsid w:val="1C112A19"/>
    <w:rsid w:val="1DE05580"/>
    <w:rsid w:val="1E6E4649"/>
    <w:rsid w:val="1EA336D1"/>
    <w:rsid w:val="1EB663BA"/>
    <w:rsid w:val="1F105C1F"/>
    <w:rsid w:val="1F4F0B96"/>
    <w:rsid w:val="1F7F413E"/>
    <w:rsid w:val="1FA17144"/>
    <w:rsid w:val="1FC35711"/>
    <w:rsid w:val="1FE10954"/>
    <w:rsid w:val="2020147D"/>
    <w:rsid w:val="203903AF"/>
    <w:rsid w:val="209E17D0"/>
    <w:rsid w:val="21465FC9"/>
    <w:rsid w:val="21B445C8"/>
    <w:rsid w:val="222A671B"/>
    <w:rsid w:val="22B34D75"/>
    <w:rsid w:val="22B84CA5"/>
    <w:rsid w:val="22BB1139"/>
    <w:rsid w:val="235D559B"/>
    <w:rsid w:val="236C5035"/>
    <w:rsid w:val="23C561BC"/>
    <w:rsid w:val="2447559E"/>
    <w:rsid w:val="24B12FEC"/>
    <w:rsid w:val="255E0351"/>
    <w:rsid w:val="25CE4265"/>
    <w:rsid w:val="260C72F5"/>
    <w:rsid w:val="2620503B"/>
    <w:rsid w:val="262E5F8A"/>
    <w:rsid w:val="2670658E"/>
    <w:rsid w:val="26B41E2F"/>
    <w:rsid w:val="26E36D60"/>
    <w:rsid w:val="277F0E70"/>
    <w:rsid w:val="2801247F"/>
    <w:rsid w:val="28054BC8"/>
    <w:rsid w:val="290D4568"/>
    <w:rsid w:val="29941A77"/>
    <w:rsid w:val="29A476AA"/>
    <w:rsid w:val="29B83D7F"/>
    <w:rsid w:val="29FB0865"/>
    <w:rsid w:val="2AE65CB3"/>
    <w:rsid w:val="2B3C2072"/>
    <w:rsid w:val="2B7B1F76"/>
    <w:rsid w:val="2BF37A45"/>
    <w:rsid w:val="2C235D34"/>
    <w:rsid w:val="2C446910"/>
    <w:rsid w:val="2C5D5087"/>
    <w:rsid w:val="2C8B7B59"/>
    <w:rsid w:val="2CCD64E8"/>
    <w:rsid w:val="2CD21E75"/>
    <w:rsid w:val="2CF25F4F"/>
    <w:rsid w:val="2D457512"/>
    <w:rsid w:val="2DA6425F"/>
    <w:rsid w:val="2DBD23E2"/>
    <w:rsid w:val="2E04418C"/>
    <w:rsid w:val="2E1A2F5F"/>
    <w:rsid w:val="2E29075F"/>
    <w:rsid w:val="2E67296D"/>
    <w:rsid w:val="2F482628"/>
    <w:rsid w:val="2F602460"/>
    <w:rsid w:val="2F827680"/>
    <w:rsid w:val="30125257"/>
    <w:rsid w:val="30C96FC7"/>
    <w:rsid w:val="30E91417"/>
    <w:rsid w:val="30F25826"/>
    <w:rsid w:val="312C1E23"/>
    <w:rsid w:val="31ED4F37"/>
    <w:rsid w:val="32643B5D"/>
    <w:rsid w:val="32AE251B"/>
    <w:rsid w:val="32CE1C89"/>
    <w:rsid w:val="32CF2F6B"/>
    <w:rsid w:val="32E46CC7"/>
    <w:rsid w:val="32E97C3B"/>
    <w:rsid w:val="33AA23E7"/>
    <w:rsid w:val="33E505BB"/>
    <w:rsid w:val="34042696"/>
    <w:rsid w:val="34292CC4"/>
    <w:rsid w:val="342F4382"/>
    <w:rsid w:val="347C0D8D"/>
    <w:rsid w:val="3528028F"/>
    <w:rsid w:val="353A59D7"/>
    <w:rsid w:val="354D74CE"/>
    <w:rsid w:val="35516825"/>
    <w:rsid w:val="359477A9"/>
    <w:rsid w:val="35A43E76"/>
    <w:rsid w:val="35C77281"/>
    <w:rsid w:val="36526E0E"/>
    <w:rsid w:val="37353608"/>
    <w:rsid w:val="374804E7"/>
    <w:rsid w:val="37674CCE"/>
    <w:rsid w:val="37982815"/>
    <w:rsid w:val="37C85758"/>
    <w:rsid w:val="37F45271"/>
    <w:rsid w:val="38566A09"/>
    <w:rsid w:val="38D22B1E"/>
    <w:rsid w:val="39133C4A"/>
    <w:rsid w:val="39641F82"/>
    <w:rsid w:val="398048E2"/>
    <w:rsid w:val="39D36BDD"/>
    <w:rsid w:val="39F23A32"/>
    <w:rsid w:val="3A7470AC"/>
    <w:rsid w:val="3A8D6D49"/>
    <w:rsid w:val="3A9E7264"/>
    <w:rsid w:val="3B0523C6"/>
    <w:rsid w:val="3B536B86"/>
    <w:rsid w:val="3B6C0AD4"/>
    <w:rsid w:val="3B8E32E7"/>
    <w:rsid w:val="3BD3519D"/>
    <w:rsid w:val="3BD72EE0"/>
    <w:rsid w:val="3C585C4A"/>
    <w:rsid w:val="3C5B6581"/>
    <w:rsid w:val="3C8B47E9"/>
    <w:rsid w:val="3C912148"/>
    <w:rsid w:val="3D0F3EF4"/>
    <w:rsid w:val="3D1578E3"/>
    <w:rsid w:val="3D343687"/>
    <w:rsid w:val="3D552B53"/>
    <w:rsid w:val="3DB949A2"/>
    <w:rsid w:val="3DF227DD"/>
    <w:rsid w:val="3E2D203C"/>
    <w:rsid w:val="3E860BED"/>
    <w:rsid w:val="3F186A7B"/>
    <w:rsid w:val="3F3B4861"/>
    <w:rsid w:val="408563A3"/>
    <w:rsid w:val="409A0D2D"/>
    <w:rsid w:val="40FB141E"/>
    <w:rsid w:val="41397EDA"/>
    <w:rsid w:val="427C658F"/>
    <w:rsid w:val="42BF2533"/>
    <w:rsid w:val="42D60B03"/>
    <w:rsid w:val="42E260D8"/>
    <w:rsid w:val="444063F8"/>
    <w:rsid w:val="44786965"/>
    <w:rsid w:val="45DC16E7"/>
    <w:rsid w:val="45FA7AA8"/>
    <w:rsid w:val="464D790E"/>
    <w:rsid w:val="46523D01"/>
    <w:rsid w:val="47071753"/>
    <w:rsid w:val="47146CF3"/>
    <w:rsid w:val="472505CD"/>
    <w:rsid w:val="48194880"/>
    <w:rsid w:val="48396CD0"/>
    <w:rsid w:val="48B325DE"/>
    <w:rsid w:val="48B35D52"/>
    <w:rsid w:val="48B50539"/>
    <w:rsid w:val="493319DD"/>
    <w:rsid w:val="49557D93"/>
    <w:rsid w:val="49EC224C"/>
    <w:rsid w:val="4A024E39"/>
    <w:rsid w:val="4A630034"/>
    <w:rsid w:val="4B8464B4"/>
    <w:rsid w:val="4BF47ACF"/>
    <w:rsid w:val="4BF6325F"/>
    <w:rsid w:val="4C6C6DEE"/>
    <w:rsid w:val="4C9F628E"/>
    <w:rsid w:val="4CD805F1"/>
    <w:rsid w:val="4D1C24CD"/>
    <w:rsid w:val="4DA21B10"/>
    <w:rsid w:val="4DAC1A55"/>
    <w:rsid w:val="4E81054F"/>
    <w:rsid w:val="4EA12D74"/>
    <w:rsid w:val="4F6D7320"/>
    <w:rsid w:val="4FB37368"/>
    <w:rsid w:val="4FCA7D61"/>
    <w:rsid w:val="4FE31BC3"/>
    <w:rsid w:val="50BB64D4"/>
    <w:rsid w:val="50BE5FC4"/>
    <w:rsid w:val="51022FDD"/>
    <w:rsid w:val="5107796B"/>
    <w:rsid w:val="510A1DA1"/>
    <w:rsid w:val="510B0870"/>
    <w:rsid w:val="51351076"/>
    <w:rsid w:val="516176FF"/>
    <w:rsid w:val="51883FA7"/>
    <w:rsid w:val="53292722"/>
    <w:rsid w:val="538452A3"/>
    <w:rsid w:val="544D4633"/>
    <w:rsid w:val="551D5F8B"/>
    <w:rsid w:val="55574F84"/>
    <w:rsid w:val="557D01FC"/>
    <w:rsid w:val="55AC591B"/>
    <w:rsid w:val="55FC1691"/>
    <w:rsid w:val="5617441A"/>
    <w:rsid w:val="5747662E"/>
    <w:rsid w:val="57602C39"/>
    <w:rsid w:val="57BE408D"/>
    <w:rsid w:val="590029F3"/>
    <w:rsid w:val="595B6AA6"/>
    <w:rsid w:val="5A61633E"/>
    <w:rsid w:val="5A815E0F"/>
    <w:rsid w:val="5AB700BF"/>
    <w:rsid w:val="5B310B75"/>
    <w:rsid w:val="5B9930A6"/>
    <w:rsid w:val="5CEE19DF"/>
    <w:rsid w:val="5CFA03D2"/>
    <w:rsid w:val="5D011713"/>
    <w:rsid w:val="5D093EE7"/>
    <w:rsid w:val="5D296A20"/>
    <w:rsid w:val="5D380EAD"/>
    <w:rsid w:val="5E2539F4"/>
    <w:rsid w:val="5EE05174"/>
    <w:rsid w:val="5F881C77"/>
    <w:rsid w:val="5FA92A2C"/>
    <w:rsid w:val="60996056"/>
    <w:rsid w:val="60CA77DA"/>
    <w:rsid w:val="60EA6962"/>
    <w:rsid w:val="60F40A67"/>
    <w:rsid w:val="610F54E3"/>
    <w:rsid w:val="61753A27"/>
    <w:rsid w:val="61A116F3"/>
    <w:rsid w:val="61B41923"/>
    <w:rsid w:val="61B5217F"/>
    <w:rsid w:val="61BC65F6"/>
    <w:rsid w:val="630C0E11"/>
    <w:rsid w:val="6321795A"/>
    <w:rsid w:val="63290B79"/>
    <w:rsid w:val="633A59A5"/>
    <w:rsid w:val="634C7F4D"/>
    <w:rsid w:val="63C4349A"/>
    <w:rsid w:val="64C96ACC"/>
    <w:rsid w:val="654011A6"/>
    <w:rsid w:val="65655E28"/>
    <w:rsid w:val="65D73176"/>
    <w:rsid w:val="671309C0"/>
    <w:rsid w:val="677A1159"/>
    <w:rsid w:val="67AA2F75"/>
    <w:rsid w:val="67C63C85"/>
    <w:rsid w:val="67C938CC"/>
    <w:rsid w:val="68A17E1F"/>
    <w:rsid w:val="693E3CEF"/>
    <w:rsid w:val="69AF24F6"/>
    <w:rsid w:val="69D361E5"/>
    <w:rsid w:val="6A415844"/>
    <w:rsid w:val="6AC13E4D"/>
    <w:rsid w:val="6C177913"/>
    <w:rsid w:val="6C2B1798"/>
    <w:rsid w:val="6C6346C3"/>
    <w:rsid w:val="6CE10C19"/>
    <w:rsid w:val="6D1B0B76"/>
    <w:rsid w:val="6D566C13"/>
    <w:rsid w:val="6DA65F74"/>
    <w:rsid w:val="6DBB0772"/>
    <w:rsid w:val="6E3306A9"/>
    <w:rsid w:val="6E6A4AAC"/>
    <w:rsid w:val="6E761835"/>
    <w:rsid w:val="6E891568"/>
    <w:rsid w:val="6ECA319C"/>
    <w:rsid w:val="6F467792"/>
    <w:rsid w:val="6F647CC4"/>
    <w:rsid w:val="6F8A10CB"/>
    <w:rsid w:val="6FAF14A2"/>
    <w:rsid w:val="6FCF3511"/>
    <w:rsid w:val="70082960"/>
    <w:rsid w:val="70F06984"/>
    <w:rsid w:val="71A566B9"/>
    <w:rsid w:val="71DB032D"/>
    <w:rsid w:val="71F8448B"/>
    <w:rsid w:val="722420EE"/>
    <w:rsid w:val="72B141BD"/>
    <w:rsid w:val="73FD4F9A"/>
    <w:rsid w:val="741B39DB"/>
    <w:rsid w:val="745D2583"/>
    <w:rsid w:val="754464D4"/>
    <w:rsid w:val="758651C2"/>
    <w:rsid w:val="75BE41ED"/>
    <w:rsid w:val="75D360EB"/>
    <w:rsid w:val="75E30307"/>
    <w:rsid w:val="761539AE"/>
    <w:rsid w:val="766936AC"/>
    <w:rsid w:val="76CF1B02"/>
    <w:rsid w:val="773F310C"/>
    <w:rsid w:val="77752FD1"/>
    <w:rsid w:val="77E62F88"/>
    <w:rsid w:val="77E85EB0"/>
    <w:rsid w:val="780304ED"/>
    <w:rsid w:val="78090E99"/>
    <w:rsid w:val="78234378"/>
    <w:rsid w:val="7851444D"/>
    <w:rsid w:val="790660A1"/>
    <w:rsid w:val="791F6D21"/>
    <w:rsid w:val="793E5753"/>
    <w:rsid w:val="79BE3AC4"/>
    <w:rsid w:val="79DC52C6"/>
    <w:rsid w:val="7A307107"/>
    <w:rsid w:val="7AA3000B"/>
    <w:rsid w:val="7AA54A5E"/>
    <w:rsid w:val="7ADE094E"/>
    <w:rsid w:val="7B051E9F"/>
    <w:rsid w:val="7B19516E"/>
    <w:rsid w:val="7B4179EA"/>
    <w:rsid w:val="7B9E5F04"/>
    <w:rsid w:val="7BF85F7F"/>
    <w:rsid w:val="7CE174E0"/>
    <w:rsid w:val="7D0B3D84"/>
    <w:rsid w:val="7D260845"/>
    <w:rsid w:val="7D5E45A5"/>
    <w:rsid w:val="7F4353C5"/>
    <w:rsid w:val="7F7F0522"/>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toc 3"/>
    <w:basedOn w:val="1"/>
    <w:next w:val="1"/>
    <w:qFormat/>
    <w:uiPriority w:val="0"/>
    <w:pPr>
      <w:ind w:left="840" w:leftChars="400"/>
    </w:pPr>
  </w:style>
  <w:style w:type="paragraph" w:styleId="4">
    <w:name w:val="Plain Text"/>
    <w:basedOn w:val="1"/>
    <w:qFormat/>
    <w:uiPriority w:val="0"/>
    <w:rPr>
      <w:rFonts w:ascii="宋体" w:hAnsi="Courier New"/>
    </w:rPr>
  </w:style>
  <w:style w:type="paragraph" w:styleId="5">
    <w:name w:val="Balloon Text"/>
    <w:basedOn w:val="1"/>
    <w:link w:val="16"/>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footnote text"/>
    <w:basedOn w:val="1"/>
    <w:semiHidden/>
    <w:unhideWhenUsed/>
    <w:qFormat/>
    <w:uiPriority w:val="99"/>
    <w:pPr>
      <w:snapToGrid w:val="0"/>
      <w:jc w:val="left"/>
    </w:pPr>
    <w:rPr>
      <w:sz w:val="18"/>
      <w:szCs w:val="18"/>
    </w:rPr>
  </w:style>
  <w:style w:type="paragraph" w:styleId="10">
    <w:name w:val="toc 2"/>
    <w:basedOn w:val="1"/>
    <w:next w:val="1"/>
    <w:qFormat/>
    <w:uiPriority w:val="0"/>
    <w:pPr>
      <w:ind w:left="420" w:leftChars="200"/>
    </w:pPr>
  </w:style>
  <w:style w:type="paragraph" w:styleId="11">
    <w:name w:val="annotation subject"/>
    <w:basedOn w:val="2"/>
    <w:next w:val="2"/>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批注框文本 字符"/>
    <w:basedOn w:val="14"/>
    <w:link w:val="5"/>
    <w:qFormat/>
    <w:uiPriority w:val="0"/>
    <w:rPr>
      <w:kern w:val="2"/>
      <w:sz w:val="18"/>
      <w:szCs w:val="18"/>
    </w:rPr>
  </w:style>
  <w:style w:type="character" w:customStyle="1" w:styleId="17">
    <w:name w:val="批注文字 字符"/>
    <w:basedOn w:val="14"/>
    <w:link w:val="2"/>
    <w:qFormat/>
    <w:uiPriority w:val="0"/>
    <w:rPr>
      <w:kern w:val="2"/>
      <w:sz w:val="21"/>
      <w:szCs w:val="24"/>
    </w:rPr>
  </w:style>
  <w:style w:type="character" w:customStyle="1" w:styleId="18">
    <w:name w:val="批注主题 字符"/>
    <w:basedOn w:val="17"/>
    <w:link w:val="11"/>
    <w:qFormat/>
    <w:uiPriority w:val="0"/>
    <w:rPr>
      <w:b/>
      <w:bCs/>
      <w:kern w:val="2"/>
      <w:sz w:val="21"/>
      <w:szCs w:val="24"/>
    </w:rPr>
  </w:style>
  <w:style w:type="paragraph" w:customStyle="1" w:styleId="19">
    <w:name w:val="样式7"/>
    <w:basedOn w:val="4"/>
    <w:qFormat/>
    <w:uiPriority w:val="0"/>
    <w:pPr>
      <w:spacing w:line="480" w:lineRule="auto"/>
      <w:ind w:firstLine="397"/>
      <w:jc w:val="center"/>
    </w:pPr>
    <w:rPr>
      <w:rFonts w:ascii="方正宋黑简体" w:eastAsia="方正宋黑简体"/>
      <w:sz w:val="28"/>
    </w:rPr>
  </w:style>
  <w:style w:type="paragraph" w:styleId="20">
    <w:name w:val="List Paragraph"/>
    <w:basedOn w:val="1"/>
    <w:qFormat/>
    <w:uiPriority w:val="99"/>
    <w:pPr>
      <w:ind w:firstLine="420" w:firstLineChars="200"/>
    </w:pPr>
  </w:style>
  <w:style w:type="character" w:customStyle="1" w:styleId="21">
    <w:name w:val="font21"/>
    <w:basedOn w:val="14"/>
    <w:qFormat/>
    <w:uiPriority w:val="0"/>
    <w:rPr>
      <w:rFonts w:hint="eastAsia" w:ascii="宋体" w:hAnsi="宋体" w:eastAsia="宋体" w:cs="宋体"/>
      <w:b/>
      <w:bCs/>
      <w:color w:val="40404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ShineWing</Company>
  <Pages>70</Pages>
  <Words>5250</Words>
  <Characters>5316</Characters>
  <Lines>385</Lines>
  <Paragraphs>108</Paragraphs>
  <TotalTime>6</TotalTime>
  <ScaleCrop>false</ScaleCrop>
  <LinksUpToDate>false</LinksUpToDate>
  <CharactersWithSpaces>5466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2025-09-22T10:03:00Z</dcterms:created>
  <dc:creator>燕子</dc:creator>
  <cp:lastModifiedBy>田秋</cp:lastModifiedBy>
  <cp:lastPrinted>2025-09-02T07:50:00Z</cp:lastPrinted>
  <dcterms:modified xsi:type="dcterms:W3CDTF">2025-09-23T07:27:11Z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47906C02362642039A0FF541121601F2_13</vt:lpwstr>
  </property>
  <property fmtid="{D5CDD505-2E9C-101B-9397-08002B2CF9AE}" pid="4" name="KSOTemplateDocerSaveRecord">
    <vt:lpwstr>eyJoZGlkIjoiNDE5YWY0MjczMzU4ZTFkNTk5YTYxZDU1MzYzN2IwYjQiLCJ1c2VySWQiOiIxNzMxNzQxMzA4In0=</vt:lpwstr>
  </property>
</Properties>
</file>