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auto"/>
        <w:spacing w:before="0" w:after="0" w:line="560" w:lineRule="exact"/>
        <w:jc w:val="both"/>
        <w:rPr>
          <w:rFonts w:hint="default" w:ascii="黑体" w:hAns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default" w:ascii="黑体" w:hAnsi="黑体" w:eastAsia="黑体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pStyle w:val="2"/>
        <w:shd w:val="clear" w:color="auto" w:fill="auto"/>
        <w:spacing w:before="0" w:after="0" w:line="56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pStyle w:val="2"/>
        <w:shd w:val="clear" w:color="auto" w:fill="auto"/>
        <w:spacing w:before="0" w:after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福建省注册会计师协会行业自律检查名单</w:t>
      </w:r>
    </w:p>
    <w:bookmarkEnd w:id="0"/>
    <w:p>
      <w:pPr>
        <w:pStyle w:val="2"/>
        <w:shd w:val="clear" w:color="auto" w:fill="auto"/>
        <w:spacing w:before="0" w:after="0" w:line="56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pStyle w:val="2"/>
        <w:shd w:val="clear" w:color="auto" w:fill="auto"/>
        <w:spacing w:before="0" w:after="0" w:line="600" w:lineRule="exact"/>
        <w:ind w:left="638" w:leftChars="304" w:firstLine="0" w:firstLineChars="0"/>
        <w:jc w:val="both"/>
        <w:rPr>
          <w:rFonts w:hint="eastAsia" w:ascii="黑体" w:hAnsi="黑体" w:eastAsia="黑体"/>
          <w:color w:val="auto"/>
          <w:sz w:val="32"/>
          <w:szCs w:val="32"/>
          <w:highlight w:val="none"/>
        </w:rPr>
      </w:pPr>
      <w:r>
        <w:rPr>
          <w:rStyle w:val="5"/>
          <w:color w:val="auto"/>
          <w:highlight w:val="none"/>
        </w:rPr>
        <w:t>1.漳州新兴龙会计师事务所有限责任公司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2.文舜信（厦门）会计师事务所（普通合伙）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3.厦门齐勤会计师事务所有限公司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4.福州彬圣会计师事务所（普通合伙）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5.福建德健会计师事务所有限公司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6.福建瑞胜会计师事务所有限公司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7.厦门中友会计师事务所有限公司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8.福州智轩会计师事务所（普通合伙）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9.福州沐银世途会计师事务所（普通合伙）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10.厦门帮联捷会计师事务所（普通合伙）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11.厦门尚大会计师事务所（普通合伙）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12.福州世途会计师事务所（普通合伙）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13.厦门红大会计师事务所（普通合伙）</w:t>
      </w:r>
      <w:r>
        <w:rPr>
          <w:rStyle w:val="6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14.厦门中泰信会计师事务所有限公司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15.厦门英嘉会计师事务所有限公司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16.泉州市泉城联合会计师事务所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17.福建众智成会计师事务所有限责任公司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18.福建华永会计师事务所有限公司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19.厦门和裕会计师事务所有限公司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20.福建弘华会计师事务所有限公司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21.厦门永和会计师事务所有限公司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22.尤溪县华实有限责任会计师事务所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23.永安燕江有限责任会计师事务所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24.泉州名城有限责任会计师事务所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25.泉州方正会计师事务所有限公司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26.泉州市久益华瑞会计师事务所有限公司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27.龙岩弘业有限责任会计师事务所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28.福建天和会计师事务所有限公司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29.福建安立信有限责任会计师事务所</w:t>
      </w:r>
      <w:r>
        <w:rPr>
          <w:rStyle w:val="5"/>
          <w:color w:val="auto"/>
          <w:highlight w:val="none"/>
        </w:rPr>
        <w:br w:type="textWrapping"/>
      </w:r>
      <w:r>
        <w:rPr>
          <w:rStyle w:val="5"/>
          <w:color w:val="auto"/>
          <w:highlight w:val="none"/>
        </w:rPr>
        <w:t>30.福建大正会计师事务所有限公司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22979"/>
    <w:rsid w:val="4352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after="100"/>
      <w:jc w:val="left"/>
    </w:pPr>
    <w:rPr>
      <w:rFonts w:ascii="宋体" w:hAnsi="宋体" w:eastAsiaTheme="minorEastAsia" w:cstheme="minorBidi"/>
      <w:kern w:val="0"/>
      <w:sz w:val="24"/>
      <w:szCs w:val="20"/>
      <w:lang w:val="en-US" w:eastAsia="zh-CN" w:bidi="ar-SA"/>
    </w:rPr>
  </w:style>
  <w:style w:type="character" w:customStyle="1" w:styleId="5">
    <w:name w:val="fontstyle01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6">
    <w:name w:val="fontstyle21"/>
    <w:qFormat/>
    <w:uiPriority w:val="0"/>
    <w:rPr>
      <w:rFonts w:ascii="宋体" w:hAnsi="宋体" w:eastAsia="宋体" w:cs="宋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2024-08-23T01:23:00Z</dcterms:created>
  <dc:creator>Ludan</dc:creator>
  <cp:lastModifiedBy>Ludan</cp:lastModifiedBy>
  <dcterms:modified xsi:type="dcterms:W3CDTF">2024-08-23T01:23:27Z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1CE469CCC208410F9210121E83C757FE</vt:lpwstr>
  </property>
</Properties>
</file>